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5720" w14:textId="4CA68D63" w:rsidR="007B7BAC" w:rsidRDefault="00CD50E2">
      <w:r>
        <w:t xml:space="preserve"> </w:t>
      </w:r>
    </w:p>
    <w:p w14:paraId="6B3D209E" w14:textId="77777777" w:rsidR="00A55C91" w:rsidRDefault="00A55C91"/>
    <w:p w14:paraId="23193DDE" w14:textId="77777777" w:rsidR="00796B87" w:rsidRDefault="00796B87" w:rsidP="00796B87">
      <w:pPr>
        <w:jc w:val="center"/>
        <w:rPr>
          <w:color w:val="FF9900"/>
          <w:sz w:val="72"/>
          <w:szCs w:val="72"/>
        </w:rPr>
      </w:pPr>
      <w:r>
        <w:rPr>
          <w:color w:val="FF9900"/>
          <w:sz w:val="72"/>
          <w:szCs w:val="72"/>
        </w:rPr>
        <w:t>Our Harrow, Our Story - Meeting the Public Sector Equality Duty</w:t>
      </w:r>
    </w:p>
    <w:p w14:paraId="1A6739DA" w14:textId="77777777" w:rsidR="00796B87" w:rsidRPr="005A37AA" w:rsidRDefault="00796B87" w:rsidP="00796B87">
      <w:pPr>
        <w:jc w:val="center"/>
        <w:rPr>
          <w:color w:val="FF9900"/>
          <w:sz w:val="72"/>
          <w:szCs w:val="72"/>
        </w:rPr>
      </w:pPr>
    </w:p>
    <w:p w14:paraId="05232FA0" w14:textId="77777777" w:rsidR="00A55C91" w:rsidRDefault="00A55C91"/>
    <w:p w14:paraId="31E6AEEB" w14:textId="19B5A2D0" w:rsidR="00796B87" w:rsidRDefault="00305042" w:rsidP="00305042">
      <w:pPr>
        <w:jc w:val="center"/>
        <w:rPr>
          <w:color w:val="3D007A"/>
          <w:sz w:val="72"/>
          <w:szCs w:val="72"/>
        </w:rPr>
      </w:pPr>
      <w:r>
        <w:rPr>
          <w:color w:val="3D007A"/>
          <w:sz w:val="72"/>
          <w:szCs w:val="72"/>
        </w:rPr>
        <w:t xml:space="preserve">Annual Progress </w:t>
      </w:r>
    </w:p>
    <w:p w14:paraId="79D14423" w14:textId="77777777" w:rsidR="00305042" w:rsidRDefault="00305042" w:rsidP="00305042">
      <w:pPr>
        <w:jc w:val="center"/>
        <w:rPr>
          <w:color w:val="3D007A"/>
          <w:sz w:val="72"/>
          <w:szCs w:val="72"/>
        </w:rPr>
      </w:pPr>
      <w:r>
        <w:rPr>
          <w:color w:val="3D007A"/>
          <w:sz w:val="72"/>
          <w:szCs w:val="72"/>
        </w:rPr>
        <w:t>&amp; Data Analysis Report</w:t>
      </w:r>
    </w:p>
    <w:p w14:paraId="6C2FD997" w14:textId="77777777" w:rsidR="00305042" w:rsidRPr="005A37AA" w:rsidRDefault="00305042" w:rsidP="00305042">
      <w:pPr>
        <w:jc w:val="center"/>
        <w:rPr>
          <w:color w:val="3D007A"/>
          <w:sz w:val="72"/>
          <w:szCs w:val="72"/>
        </w:rPr>
      </w:pPr>
      <w:r>
        <w:rPr>
          <w:color w:val="3D007A"/>
          <w:sz w:val="72"/>
          <w:szCs w:val="72"/>
        </w:rPr>
        <w:t>2017/18</w:t>
      </w:r>
    </w:p>
    <w:p w14:paraId="02BB5ED6" w14:textId="77777777" w:rsidR="00305042" w:rsidRPr="005A37AA" w:rsidRDefault="00305042" w:rsidP="00305042">
      <w:pPr>
        <w:rPr>
          <w:sz w:val="72"/>
          <w:szCs w:val="72"/>
        </w:rPr>
      </w:pPr>
    </w:p>
    <w:p w14:paraId="6931D749" w14:textId="77777777" w:rsidR="00796B87" w:rsidRPr="00F94D41" w:rsidRDefault="00796B87" w:rsidP="00305042">
      <w:pPr>
        <w:jc w:val="center"/>
        <w:rPr>
          <w:sz w:val="52"/>
          <w:szCs w:val="52"/>
        </w:rPr>
      </w:pPr>
    </w:p>
    <w:p w14:paraId="381CF76B" w14:textId="77777777" w:rsidR="00305042" w:rsidRPr="005A37AA" w:rsidRDefault="00305042" w:rsidP="00305042">
      <w:pPr>
        <w:jc w:val="center"/>
        <w:rPr>
          <w:sz w:val="72"/>
          <w:szCs w:val="72"/>
        </w:rPr>
      </w:pPr>
      <w:r>
        <w:rPr>
          <w:noProof/>
          <w:sz w:val="72"/>
          <w:szCs w:val="72"/>
          <w:lang w:eastAsia="en-GB"/>
        </w:rPr>
        <w:drawing>
          <wp:inline distT="0" distB="0" distL="0" distR="0" wp14:anchorId="62B3F49C" wp14:editId="2CBBDD04">
            <wp:extent cx="3190875" cy="892363"/>
            <wp:effectExtent l="0" t="0" r="0" b="3175"/>
            <wp:docPr id="9" name="Picture 9" descr="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row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0875" cy="892363"/>
                    </a:xfrm>
                    <a:prstGeom prst="rect">
                      <a:avLst/>
                    </a:prstGeom>
                    <a:noFill/>
                    <a:ln>
                      <a:noFill/>
                    </a:ln>
                  </pic:spPr>
                </pic:pic>
              </a:graphicData>
            </a:graphic>
          </wp:inline>
        </w:drawing>
      </w:r>
    </w:p>
    <w:p w14:paraId="4A4CA3EE" w14:textId="77777777" w:rsidR="00A55C91" w:rsidRDefault="00A55C91"/>
    <w:p w14:paraId="360A13B3" w14:textId="77777777" w:rsidR="00A55C91" w:rsidRDefault="00A55C91" w:rsidP="00A55C91">
      <w:pPr>
        <w:rPr>
          <w:color w:val="3E007A"/>
          <w:sz w:val="32"/>
          <w:szCs w:val="32"/>
        </w:rPr>
      </w:pPr>
      <w:r w:rsidRPr="00A2613B">
        <w:rPr>
          <w:color w:val="3E007A"/>
          <w:sz w:val="32"/>
          <w:szCs w:val="32"/>
        </w:rPr>
        <w:lastRenderedPageBreak/>
        <w:t>Foreword</w:t>
      </w:r>
    </w:p>
    <w:p w14:paraId="3BA280FC" w14:textId="77777777" w:rsidR="00A55C91" w:rsidRPr="00546201" w:rsidRDefault="00A55C91" w:rsidP="00A55C91"/>
    <w:p w14:paraId="0CBA9BD8" w14:textId="3C3E3C45" w:rsidR="00796B87" w:rsidRPr="00866854" w:rsidRDefault="002E2735" w:rsidP="00796B87">
      <w:r>
        <w:t xml:space="preserve">Welcome to the 2017/18 </w:t>
      </w:r>
      <w:r w:rsidR="00A55C91" w:rsidRPr="00866854">
        <w:t xml:space="preserve">Annual Equalities Progress </w:t>
      </w:r>
      <w:r w:rsidR="00305042">
        <w:t xml:space="preserve">and Data Analysis </w:t>
      </w:r>
      <w:r w:rsidR="00A55C91" w:rsidRPr="00866854">
        <w:t>Report which outlines our performance against our</w:t>
      </w:r>
      <w:r w:rsidR="00305042">
        <w:t xml:space="preserve"> Corporate Equality Objectives</w:t>
      </w:r>
      <w:r w:rsidR="00F820BA">
        <w:t xml:space="preserve"> via a basket of indicators and case </w:t>
      </w:r>
      <w:r w:rsidR="0016341A">
        <w:t>studies and</w:t>
      </w:r>
      <w:r w:rsidR="00796B87">
        <w:t xml:space="preserve"> includes this year the equalities data for the Council and the borough.</w:t>
      </w:r>
      <w:r w:rsidR="00305042">
        <w:t xml:space="preserve"> </w:t>
      </w:r>
      <w:r w:rsidR="00796B87" w:rsidRPr="00866854">
        <w:t>This report provides details of the progress we are making in achieving our equal</w:t>
      </w:r>
      <w:r w:rsidR="00796B87">
        <w:t xml:space="preserve">ity objectives. </w:t>
      </w:r>
      <w:r w:rsidR="00796B87" w:rsidRPr="00866854">
        <w:t xml:space="preserve">It </w:t>
      </w:r>
      <w:r w:rsidR="00796B87">
        <w:t>illustrates</w:t>
      </w:r>
      <w:r w:rsidR="00796B87" w:rsidRPr="00866854">
        <w:t xml:space="preserve"> the wide range of work carried out by the Council</w:t>
      </w:r>
      <w:r w:rsidR="00DA42A5">
        <w:t xml:space="preserve"> to </w:t>
      </w:r>
      <w:r w:rsidR="00DA42A5">
        <w:rPr>
          <w:lang w:val="en-US"/>
        </w:rPr>
        <w:t xml:space="preserve">promote inclusion, cohesion, fairness and justice </w:t>
      </w:r>
      <w:r w:rsidR="00796B87">
        <w:t xml:space="preserve">and sets out our </w:t>
      </w:r>
      <w:r w:rsidR="00DA42A5">
        <w:t>suggested priority actions</w:t>
      </w:r>
      <w:r w:rsidR="00796B87" w:rsidRPr="00866854">
        <w:t xml:space="preserve"> for the year ahead.  </w:t>
      </w:r>
    </w:p>
    <w:p w14:paraId="6DF957F3" w14:textId="77777777" w:rsidR="00A55C91" w:rsidRPr="00866854" w:rsidRDefault="00A55C91" w:rsidP="00A55C91"/>
    <w:p w14:paraId="11B0051C" w14:textId="0FC5C867" w:rsidR="00A55C91" w:rsidRPr="00866854" w:rsidRDefault="00A55C91" w:rsidP="00A55C91">
      <w:pPr>
        <w:rPr>
          <w:lang w:val="en-US"/>
        </w:rPr>
      </w:pPr>
      <w:r w:rsidRPr="00866854">
        <w:rPr>
          <w:szCs w:val="23"/>
          <w:lang w:val="en-US"/>
        </w:rPr>
        <w:t xml:space="preserve">Harrow prides itself in being one of the most ethnically and religiously diverse boroughs in the country with people of many different backgrounds and life experiences living side by side. </w:t>
      </w:r>
      <w:r w:rsidRPr="00866854">
        <w:rPr>
          <w:lang w:val="en-US"/>
        </w:rPr>
        <w:t>As a community leader, we will continue to work in partnership with the public, voluntary and private sectors to ensure we achieve this vision for our borough.</w:t>
      </w:r>
    </w:p>
    <w:p w14:paraId="28C0B227" w14:textId="77777777" w:rsidR="00A55C91" w:rsidRPr="00866854" w:rsidRDefault="00A55C91" w:rsidP="00A55C91">
      <w:pPr>
        <w:rPr>
          <w:szCs w:val="23"/>
          <w:lang w:val="en-US"/>
        </w:rPr>
      </w:pPr>
    </w:p>
    <w:p w14:paraId="3E7CCF9F" w14:textId="7D4BF88C" w:rsidR="002E2735" w:rsidRDefault="002E2735" w:rsidP="002E2735">
      <w:r w:rsidRPr="002E2735">
        <w:t xml:space="preserve">The Council operates a robust approach to the governance and mainstreaming </w:t>
      </w:r>
      <w:r w:rsidR="00DA42A5">
        <w:t xml:space="preserve">of </w:t>
      </w:r>
      <w:r w:rsidRPr="002E2735">
        <w:t>equality and diversity across the organisation. Our Corporate Equ</w:t>
      </w:r>
      <w:r>
        <w:t>alities Group (CEG)</w:t>
      </w:r>
      <w:r w:rsidRPr="002E2735">
        <w:t xml:space="preserve"> provides senior leadership and strategic direction for </w:t>
      </w:r>
      <w:r>
        <w:t xml:space="preserve">the equality and diversity agenda in Harrow. </w:t>
      </w:r>
      <w:r w:rsidRPr="002E2735">
        <w:t xml:space="preserve"> </w:t>
      </w:r>
      <w:r w:rsidR="00D172C4">
        <w:t>It sets</w:t>
      </w:r>
      <w:r>
        <w:t xml:space="preserve"> the priorities for the equalities annual action plan</w:t>
      </w:r>
      <w:r w:rsidRPr="002E2735">
        <w:t xml:space="preserve"> and monitors </w:t>
      </w:r>
      <w:r w:rsidR="00D172C4">
        <w:t>the</w:t>
      </w:r>
      <w:r w:rsidRPr="002E2735">
        <w:t xml:space="preserve"> outcomes and progress. Each Directorate has a </w:t>
      </w:r>
      <w:r w:rsidR="00F820BA">
        <w:t>Directorate Equality Task Group</w:t>
      </w:r>
      <w:r w:rsidRPr="002E2735">
        <w:t xml:space="preserve"> (DETGs) which forms a link between the CEG and Directorates. As well as playing a key role in championing equality, diversity and inclusion, promoting good practice on equality and diver</w:t>
      </w:r>
      <w:r w:rsidR="00D172C4">
        <w:t xml:space="preserve">sity with regards to employment, </w:t>
      </w:r>
      <w:r w:rsidRPr="002E2735">
        <w:t>service delivery</w:t>
      </w:r>
      <w:r w:rsidR="00D172C4">
        <w:t xml:space="preserve"> a</w:t>
      </w:r>
      <w:r w:rsidR="00F820BA">
        <w:t xml:space="preserve">nd equality impact assessments. </w:t>
      </w:r>
      <w:r w:rsidR="00D172C4">
        <w:t>ETGs also have a role in supporting the delivery of the equalities action plan.</w:t>
      </w:r>
      <w:r w:rsidR="00DA42A5">
        <w:t xml:space="preserve"> Alongside this we are indebted to the work that staff and Councillors do in addition to their paid role as </w:t>
      </w:r>
      <w:r w:rsidR="00F820BA">
        <w:t>Diversity</w:t>
      </w:r>
      <w:r w:rsidR="00DA42A5">
        <w:t xml:space="preserve"> Champions, Straight Allies or Mental Health Champions to promote diversity, tolerance and inclusion in the workplace and the wider community. Equalities truly </w:t>
      </w:r>
      <w:proofErr w:type="gramStart"/>
      <w:r w:rsidR="00F820BA">
        <w:t>is</w:t>
      </w:r>
      <w:proofErr w:type="gramEnd"/>
      <w:r w:rsidR="00F820BA">
        <w:t xml:space="preserve"> </w:t>
      </w:r>
      <w:r w:rsidR="00DA42A5">
        <w:t>everybody’s business and we couldn’t make the difference we do without their passion, dedication and commitment.</w:t>
      </w:r>
    </w:p>
    <w:p w14:paraId="4A597C61" w14:textId="77777777" w:rsidR="002E2735" w:rsidRPr="002E2735" w:rsidRDefault="002E2735" w:rsidP="002E2735"/>
    <w:p w14:paraId="57C73243" w14:textId="668B0DBD" w:rsidR="002E2735" w:rsidRPr="002E2735" w:rsidRDefault="002E2735" w:rsidP="002E2735">
      <w:r w:rsidRPr="002E2735">
        <w:t>Harrow is a vastly diverse Council</w:t>
      </w:r>
      <w:r>
        <w:t xml:space="preserve"> and borough, and there is</w:t>
      </w:r>
      <w:r w:rsidRPr="002E2735">
        <w:t xml:space="preserve"> much being done across the Council to </w:t>
      </w:r>
      <w:r w:rsidR="00F820BA">
        <w:t xml:space="preserve">continue to </w:t>
      </w:r>
      <w:r w:rsidRPr="002E2735">
        <w:t>further equality and to celebrate the Borough’s diversity. The borough’s diversity is something to value and the Council can be proud of the achievements highlighted in this report, which build on our firm com</w:t>
      </w:r>
      <w:r w:rsidR="00D172C4">
        <w:t>mitment to promote fairness, inclusiveness and tolerance</w:t>
      </w:r>
      <w:r w:rsidRPr="002E2735">
        <w:t>, as outlined in our Co</w:t>
      </w:r>
      <w:r w:rsidR="00D172C4">
        <w:t>rporate Plan. The r</w:t>
      </w:r>
      <w:r w:rsidRPr="002E2735">
        <w:t>eport highlight</w:t>
      </w:r>
      <w:r w:rsidR="00D172C4">
        <w:t>s examples of</w:t>
      </w:r>
      <w:r w:rsidRPr="002E2735">
        <w:t xml:space="preserve"> our continued commitment to maintaining and building on our strengths by ensuring equality and diversity are</w:t>
      </w:r>
      <w:r w:rsidR="00D172C4">
        <w:t xml:space="preserve"> integral to everything we do and uses this evidence to inform the priorities</w:t>
      </w:r>
      <w:r w:rsidRPr="002E2735">
        <w:t xml:space="preserve"> for the year ahead.  </w:t>
      </w:r>
    </w:p>
    <w:p w14:paraId="4755B1C5" w14:textId="77777777" w:rsidR="00A55C91" w:rsidRDefault="00A55C91" w:rsidP="00A55C91"/>
    <w:p w14:paraId="3BCBA67A" w14:textId="77777777" w:rsidR="00DA42A5" w:rsidRPr="00866854" w:rsidRDefault="00DA42A5" w:rsidP="00A55C91"/>
    <w:p w14:paraId="0E6CB531" w14:textId="77777777" w:rsidR="00796B87" w:rsidRDefault="00796B87"/>
    <w:p w14:paraId="7B6FDBB5" w14:textId="77777777" w:rsidR="00796B87" w:rsidRDefault="00796B87">
      <w:r>
        <w:t>Cllr Graham Henson</w:t>
      </w:r>
      <w:r>
        <w:tab/>
      </w:r>
      <w:r>
        <w:tab/>
      </w:r>
      <w:r>
        <w:tab/>
      </w:r>
      <w:r>
        <w:tab/>
      </w:r>
      <w:r>
        <w:tab/>
      </w:r>
      <w:r>
        <w:tab/>
      </w:r>
      <w:r>
        <w:tab/>
      </w:r>
      <w:r>
        <w:tab/>
      </w:r>
      <w:r>
        <w:tab/>
        <w:t>Tom Whiting</w:t>
      </w:r>
    </w:p>
    <w:p w14:paraId="0D4CB6D4" w14:textId="77777777" w:rsidR="00796B87" w:rsidRDefault="00796B87">
      <w:r>
        <w:t>Leader</w:t>
      </w:r>
      <w:r>
        <w:tab/>
      </w:r>
      <w:r>
        <w:tab/>
      </w:r>
      <w:r>
        <w:tab/>
      </w:r>
      <w:r>
        <w:tab/>
      </w:r>
      <w:r>
        <w:tab/>
      </w:r>
      <w:r>
        <w:tab/>
      </w:r>
      <w:r>
        <w:tab/>
      </w:r>
      <w:r>
        <w:tab/>
      </w:r>
      <w:r>
        <w:tab/>
      </w:r>
      <w:r>
        <w:tab/>
      </w:r>
      <w:r>
        <w:tab/>
        <w:t>Interim Chief Executive</w:t>
      </w:r>
    </w:p>
    <w:p w14:paraId="5F6C0D89" w14:textId="77777777" w:rsidR="00A55C91" w:rsidRDefault="00A55C91" w:rsidP="00A55C91"/>
    <w:tbl>
      <w:tblPr>
        <w:tblW w:w="9908" w:type="dxa"/>
        <w:tblLayout w:type="fixed"/>
        <w:tblLook w:val="04A0" w:firstRow="1" w:lastRow="0" w:firstColumn="1" w:lastColumn="0" w:noHBand="0" w:noVBand="1"/>
      </w:tblPr>
      <w:tblGrid>
        <w:gridCol w:w="3652"/>
        <w:gridCol w:w="1447"/>
        <w:gridCol w:w="3514"/>
        <w:gridCol w:w="1295"/>
      </w:tblGrid>
      <w:tr w:rsidR="00A55C91" w:rsidRPr="00866854" w14:paraId="77E759FF" w14:textId="77777777" w:rsidTr="00DA2ABE">
        <w:tc>
          <w:tcPr>
            <w:tcW w:w="3652" w:type="dxa"/>
            <w:shd w:val="clear" w:color="auto" w:fill="auto"/>
          </w:tcPr>
          <w:p w14:paraId="4F502ADE" w14:textId="77777777" w:rsidR="00A55C91" w:rsidRPr="00866854" w:rsidRDefault="00A55C91" w:rsidP="00DA2ABE">
            <w:pPr>
              <w:rPr>
                <w:rFonts w:ascii="Calibri" w:eastAsia="Calibri" w:hAnsi="Calibri" w:cs="Times New Roman"/>
                <w:sz w:val="22"/>
                <w:szCs w:val="22"/>
                <w:lang w:val="en-US"/>
              </w:rPr>
            </w:pPr>
          </w:p>
          <w:p w14:paraId="51896847" w14:textId="77777777" w:rsidR="00A55C91" w:rsidRPr="00866854" w:rsidRDefault="00A55C91" w:rsidP="00DA2ABE">
            <w:pPr>
              <w:rPr>
                <w:rFonts w:eastAsia="Calibri"/>
                <w:b/>
                <w:sz w:val="20"/>
                <w:szCs w:val="20"/>
              </w:rPr>
            </w:pPr>
          </w:p>
          <w:p w14:paraId="1F725FA2" w14:textId="77777777" w:rsidR="00A55C91" w:rsidRPr="00866854" w:rsidRDefault="00A55C91" w:rsidP="00DA2ABE">
            <w:pPr>
              <w:rPr>
                <w:rFonts w:eastAsia="Calibri"/>
                <w:b/>
                <w:color w:val="FF0000"/>
                <w:sz w:val="20"/>
                <w:szCs w:val="20"/>
              </w:rPr>
            </w:pPr>
          </w:p>
        </w:tc>
        <w:tc>
          <w:tcPr>
            <w:tcW w:w="1447" w:type="dxa"/>
            <w:shd w:val="clear" w:color="auto" w:fill="auto"/>
          </w:tcPr>
          <w:p w14:paraId="01CB9CA7" w14:textId="77777777" w:rsidR="00A55C91" w:rsidRPr="00866854" w:rsidRDefault="00A55C91" w:rsidP="00DA2ABE">
            <w:pPr>
              <w:rPr>
                <w:rFonts w:eastAsia="Calibri"/>
                <w:b/>
                <w:color w:val="FF0000"/>
              </w:rPr>
            </w:pPr>
          </w:p>
        </w:tc>
        <w:tc>
          <w:tcPr>
            <w:tcW w:w="3514" w:type="dxa"/>
            <w:shd w:val="clear" w:color="auto" w:fill="auto"/>
          </w:tcPr>
          <w:p w14:paraId="7B455B20" w14:textId="77777777" w:rsidR="00A55C91" w:rsidRPr="00866854" w:rsidRDefault="00A55C91" w:rsidP="00DA2ABE">
            <w:pPr>
              <w:rPr>
                <w:rFonts w:eastAsia="Calibri"/>
                <w:b/>
                <w:color w:val="FF0000"/>
              </w:rPr>
            </w:pPr>
          </w:p>
        </w:tc>
        <w:tc>
          <w:tcPr>
            <w:tcW w:w="1295" w:type="dxa"/>
            <w:shd w:val="clear" w:color="auto" w:fill="auto"/>
          </w:tcPr>
          <w:p w14:paraId="2EC5DE21" w14:textId="77777777" w:rsidR="00A55C91" w:rsidRPr="00866854" w:rsidRDefault="00A55C91" w:rsidP="00DA2ABE">
            <w:pPr>
              <w:rPr>
                <w:rFonts w:eastAsia="Calibri"/>
                <w:b/>
                <w:color w:val="FF0000"/>
              </w:rPr>
            </w:pPr>
          </w:p>
        </w:tc>
      </w:tr>
    </w:tbl>
    <w:p w14:paraId="26E6BBB3" w14:textId="60989B51" w:rsidR="003C2BB7" w:rsidRDefault="003C2BB7" w:rsidP="00A55C91">
      <w:pPr>
        <w:rPr>
          <w:color w:val="3E007A"/>
          <w:sz w:val="32"/>
          <w:szCs w:val="32"/>
        </w:rPr>
      </w:pPr>
      <w:r>
        <w:rPr>
          <w:color w:val="3E007A"/>
          <w:sz w:val="32"/>
          <w:szCs w:val="32"/>
        </w:rPr>
        <w:t>Contents</w:t>
      </w:r>
    </w:p>
    <w:p w14:paraId="598B6211" w14:textId="77777777" w:rsidR="003C2BB7" w:rsidRDefault="003C2BB7" w:rsidP="00A55C91">
      <w:pPr>
        <w:rPr>
          <w:color w:val="3E007A"/>
          <w:sz w:val="32"/>
          <w:szCs w:val="32"/>
        </w:rPr>
      </w:pPr>
    </w:p>
    <w:p w14:paraId="07B6E201" w14:textId="1F99E3D4" w:rsidR="00F52999" w:rsidRDefault="009A6FD4" w:rsidP="00A55C91">
      <w:pPr>
        <w:pStyle w:val="ListParagraph"/>
        <w:numPr>
          <w:ilvl w:val="0"/>
          <w:numId w:val="17"/>
        </w:numPr>
        <w:rPr>
          <w:szCs w:val="32"/>
        </w:rPr>
      </w:pPr>
      <w:r w:rsidRPr="00777E7D">
        <w:rPr>
          <w:szCs w:val="32"/>
        </w:rPr>
        <w:t>Introduction</w:t>
      </w:r>
      <w:r w:rsidR="00777E7D" w:rsidRPr="00777E7D">
        <w:rPr>
          <w:szCs w:val="32"/>
        </w:rPr>
        <w:tab/>
      </w:r>
      <w:r w:rsidR="00777E7D" w:rsidRP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t>4</w:t>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sidRPr="00777E7D">
        <w:rPr>
          <w:szCs w:val="32"/>
        </w:rPr>
        <w:tab/>
      </w:r>
      <w:r w:rsidR="00777E7D">
        <w:rPr>
          <w:szCs w:val="32"/>
        </w:rPr>
        <w:tab/>
      </w:r>
    </w:p>
    <w:p w14:paraId="06A22640" w14:textId="795B7AF0" w:rsidR="00F52999" w:rsidRPr="00F820BA" w:rsidRDefault="009A6FD4" w:rsidP="00A55C91">
      <w:pPr>
        <w:pStyle w:val="ListParagraph"/>
        <w:numPr>
          <w:ilvl w:val="0"/>
          <w:numId w:val="17"/>
        </w:numPr>
        <w:rPr>
          <w:szCs w:val="32"/>
        </w:rPr>
      </w:pPr>
      <w:r w:rsidRPr="00F820BA">
        <w:rPr>
          <w:szCs w:val="32"/>
        </w:rPr>
        <w:t>Our Harrow, Our Community – Equalities Profile</w:t>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t>6</w:t>
      </w:r>
    </w:p>
    <w:p w14:paraId="18ECA7C0" w14:textId="77777777" w:rsidR="00C70D91" w:rsidRPr="00F820BA" w:rsidRDefault="00C70D91" w:rsidP="00C70D91">
      <w:pPr>
        <w:pStyle w:val="ListParagraph"/>
        <w:rPr>
          <w:szCs w:val="32"/>
        </w:rPr>
      </w:pPr>
    </w:p>
    <w:p w14:paraId="52F01E66" w14:textId="77777777" w:rsidR="00D172C4" w:rsidRPr="00F820BA" w:rsidRDefault="00D172C4" w:rsidP="00D172C4">
      <w:pPr>
        <w:pStyle w:val="ListParagraph"/>
        <w:rPr>
          <w:szCs w:val="32"/>
        </w:rPr>
      </w:pPr>
    </w:p>
    <w:p w14:paraId="6429BF89" w14:textId="581EA8A1" w:rsidR="00C70D91" w:rsidRPr="00F820BA" w:rsidRDefault="00C70D91" w:rsidP="00C70D91">
      <w:pPr>
        <w:pStyle w:val="ListParagraph"/>
        <w:numPr>
          <w:ilvl w:val="0"/>
          <w:numId w:val="17"/>
        </w:numPr>
        <w:rPr>
          <w:szCs w:val="32"/>
        </w:rPr>
      </w:pPr>
      <w:r w:rsidRPr="00F820BA">
        <w:rPr>
          <w:szCs w:val="32"/>
        </w:rPr>
        <w:t>Reviewing Progress and setting priorities</w:t>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t>16</w:t>
      </w:r>
    </w:p>
    <w:p w14:paraId="49EC2127" w14:textId="77777777" w:rsidR="00C70D91" w:rsidRPr="00F820BA" w:rsidRDefault="00C70D91" w:rsidP="00C70D91">
      <w:pPr>
        <w:pStyle w:val="ListParagraph"/>
        <w:rPr>
          <w:szCs w:val="32"/>
        </w:rPr>
      </w:pPr>
    </w:p>
    <w:p w14:paraId="646B6FB6" w14:textId="77777777" w:rsidR="00C70D91" w:rsidRPr="00F820BA" w:rsidRDefault="00C70D91" w:rsidP="00C70D91">
      <w:pPr>
        <w:pStyle w:val="ListParagraph"/>
        <w:rPr>
          <w:szCs w:val="32"/>
        </w:rPr>
      </w:pPr>
    </w:p>
    <w:p w14:paraId="1162E658" w14:textId="11B8D49B" w:rsidR="00C70D91" w:rsidRDefault="00C70D91" w:rsidP="00C70D91">
      <w:pPr>
        <w:pStyle w:val="ListParagraph"/>
        <w:numPr>
          <w:ilvl w:val="0"/>
          <w:numId w:val="17"/>
        </w:numPr>
        <w:rPr>
          <w:szCs w:val="32"/>
        </w:rPr>
      </w:pPr>
      <w:r w:rsidRPr="00F820BA">
        <w:rPr>
          <w:szCs w:val="32"/>
        </w:rPr>
        <w:t>Proposed priorities for the 2018/19 Action Plan</w:t>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r>
      <w:r w:rsidR="00777E7D">
        <w:rPr>
          <w:szCs w:val="32"/>
        </w:rPr>
        <w:tab/>
        <w:t>24</w:t>
      </w:r>
    </w:p>
    <w:p w14:paraId="0265AD5F" w14:textId="77777777" w:rsidR="00777E7D" w:rsidRDefault="00777E7D" w:rsidP="00777E7D">
      <w:pPr>
        <w:rPr>
          <w:szCs w:val="32"/>
        </w:rPr>
      </w:pPr>
    </w:p>
    <w:p w14:paraId="0D5C2762" w14:textId="77777777" w:rsidR="00777E7D" w:rsidRDefault="00777E7D" w:rsidP="00777E7D">
      <w:pPr>
        <w:rPr>
          <w:szCs w:val="32"/>
        </w:rPr>
      </w:pPr>
    </w:p>
    <w:p w14:paraId="235F83E4" w14:textId="574F372D" w:rsidR="00777E7D" w:rsidRPr="00777E7D" w:rsidRDefault="00777E7D" w:rsidP="00777E7D">
      <w:pPr>
        <w:rPr>
          <w:szCs w:val="32"/>
        </w:rPr>
      </w:pPr>
      <w:r>
        <w:rPr>
          <w:szCs w:val="32"/>
        </w:rPr>
        <w:t xml:space="preserve">Appendix 1 </w:t>
      </w:r>
      <w:r w:rsidR="008A56BF">
        <w:rPr>
          <w:szCs w:val="32"/>
        </w:rPr>
        <w:t>–</w:t>
      </w:r>
      <w:r>
        <w:rPr>
          <w:szCs w:val="32"/>
        </w:rPr>
        <w:t xml:space="preserve"> </w:t>
      </w:r>
      <w:r w:rsidR="008A56BF">
        <w:rPr>
          <w:szCs w:val="32"/>
        </w:rPr>
        <w:t>Corporate Equality and Diversity Performance targets 2017/18</w:t>
      </w:r>
      <w:r w:rsidR="008A56BF">
        <w:rPr>
          <w:szCs w:val="32"/>
        </w:rPr>
        <w:tab/>
      </w:r>
      <w:r w:rsidR="008A56BF">
        <w:rPr>
          <w:szCs w:val="32"/>
        </w:rPr>
        <w:tab/>
      </w:r>
      <w:r w:rsidR="008A56BF">
        <w:rPr>
          <w:szCs w:val="32"/>
        </w:rPr>
        <w:tab/>
      </w:r>
      <w:r w:rsidR="008A56BF">
        <w:rPr>
          <w:szCs w:val="32"/>
        </w:rPr>
        <w:tab/>
      </w:r>
      <w:r w:rsidR="008A56BF">
        <w:rPr>
          <w:szCs w:val="32"/>
        </w:rPr>
        <w:tab/>
      </w:r>
      <w:r w:rsidR="008A56BF">
        <w:rPr>
          <w:szCs w:val="32"/>
        </w:rPr>
        <w:tab/>
      </w:r>
      <w:r w:rsidR="008A56BF">
        <w:rPr>
          <w:szCs w:val="32"/>
        </w:rPr>
        <w:tab/>
        <w:t>26</w:t>
      </w:r>
    </w:p>
    <w:p w14:paraId="651D62C2" w14:textId="77777777" w:rsidR="009A6FD4" w:rsidRDefault="009A6FD4" w:rsidP="00A55C91">
      <w:pPr>
        <w:rPr>
          <w:color w:val="3E007A"/>
          <w:sz w:val="32"/>
          <w:szCs w:val="32"/>
        </w:rPr>
      </w:pPr>
    </w:p>
    <w:p w14:paraId="697678AD" w14:textId="0EBE721C" w:rsidR="00DA42A5" w:rsidRDefault="00DA42A5">
      <w:pPr>
        <w:rPr>
          <w:color w:val="3E007A"/>
          <w:sz w:val="32"/>
          <w:szCs w:val="32"/>
        </w:rPr>
      </w:pPr>
      <w:r>
        <w:rPr>
          <w:color w:val="3E007A"/>
          <w:sz w:val="32"/>
          <w:szCs w:val="32"/>
        </w:rPr>
        <w:br w:type="page"/>
      </w:r>
    </w:p>
    <w:p w14:paraId="01748CD1" w14:textId="0592F525" w:rsidR="00A55C91" w:rsidRPr="00F52999" w:rsidRDefault="00A55C91" w:rsidP="00F52999">
      <w:pPr>
        <w:pStyle w:val="ListParagraph"/>
        <w:numPr>
          <w:ilvl w:val="0"/>
          <w:numId w:val="15"/>
        </w:numPr>
        <w:rPr>
          <w:sz w:val="32"/>
          <w:szCs w:val="32"/>
        </w:rPr>
      </w:pPr>
      <w:r w:rsidRPr="00F52999">
        <w:rPr>
          <w:color w:val="3E007A"/>
          <w:sz w:val="32"/>
          <w:szCs w:val="32"/>
        </w:rPr>
        <w:lastRenderedPageBreak/>
        <w:t>Introduction</w:t>
      </w:r>
    </w:p>
    <w:p w14:paraId="6F4AE718" w14:textId="77777777" w:rsidR="00A55C91" w:rsidRPr="00334008" w:rsidRDefault="00A55C91" w:rsidP="00A55C91">
      <w:pPr>
        <w:ind w:left="-360"/>
        <w:rPr>
          <w:sz w:val="12"/>
          <w:szCs w:val="12"/>
        </w:rPr>
      </w:pPr>
    </w:p>
    <w:p w14:paraId="27907444" w14:textId="383C525C" w:rsidR="00A55C91" w:rsidRPr="003D4D06"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Cs w:val="23"/>
          <w:lang w:val="en-US"/>
        </w:rPr>
      </w:pPr>
      <w:r w:rsidRPr="003D4D06">
        <w:rPr>
          <w:color w:val="000000"/>
          <w:szCs w:val="23"/>
          <w:lang w:val="en-US"/>
        </w:rPr>
        <w:t xml:space="preserve">Harrow is one of the most ethnically and religiously diverse boroughs in London with people of many different backgrounds and life experiences living side by side.  It is the richness of this diversity, and the positive impact that it has on the borough and our community, that we believe helps make Harrow such a great place to live, work and visit.  We know that the borough’s diversity is something to value and encourage and this </w:t>
      </w:r>
      <w:r w:rsidR="003C2BB7">
        <w:rPr>
          <w:color w:val="000000"/>
          <w:szCs w:val="23"/>
          <w:lang w:val="en-US"/>
        </w:rPr>
        <w:t>report</w:t>
      </w:r>
      <w:r w:rsidRPr="003D4D06">
        <w:rPr>
          <w:color w:val="000000"/>
          <w:szCs w:val="23"/>
          <w:lang w:val="en-US"/>
        </w:rPr>
        <w:t xml:space="preserve"> highlights our commitment to maintaining and building on our strengths by ensuring equality and diversity is integral to everything we do.</w:t>
      </w:r>
    </w:p>
    <w:p w14:paraId="6BC90CF9" w14:textId="77777777" w:rsidR="00A55C91" w:rsidRPr="003D4D06"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szCs w:val="23"/>
          <w:lang w:val="en-US"/>
        </w:rPr>
      </w:pPr>
    </w:p>
    <w:p w14:paraId="38822138" w14:textId="48F5D044" w:rsidR="00A55C91" w:rsidRDefault="00A55C91" w:rsidP="00A55C91">
      <w:r w:rsidRPr="003D4D06">
        <w:rPr>
          <w:color w:val="000000"/>
          <w:lang w:val="en-US"/>
        </w:rPr>
        <w:t>In serving a diverse population, the Council aims to ensure there is equality of opportunity for its residents, service users, employees, elected members, stakeholders and partner organisations irrespective of age, disability, gender reassignment, marriage and civil partnership, pregnancy and maternity, race, religion or belief, sex and sexual orientation</w:t>
      </w:r>
      <w:r w:rsidR="003C2BB7">
        <w:rPr>
          <w:color w:val="000000"/>
          <w:lang w:val="en-US"/>
        </w:rPr>
        <w:t>.</w:t>
      </w:r>
      <w:r w:rsidR="001066E3">
        <w:t xml:space="preserve"> </w:t>
      </w:r>
      <w:r w:rsidRPr="00EA3489">
        <w:t>However, we recognise that in our society, groups and individuals continue to be unlawfully discriminated against and we acknowledge our responsibilities to eliminate unlawful discrimination and to promote equality of opportunity and good relations within the rich diversity of Harrow's communities.</w:t>
      </w:r>
    </w:p>
    <w:p w14:paraId="12FC2FD5" w14:textId="77777777" w:rsidR="00F52999" w:rsidRDefault="00F52999" w:rsidP="00A55C91"/>
    <w:p w14:paraId="50931A13" w14:textId="6D823C0B" w:rsidR="002E2735" w:rsidRPr="002E2735" w:rsidRDefault="002E2735" w:rsidP="002E2735">
      <w:r w:rsidRPr="002E2735">
        <w:t>The</w:t>
      </w:r>
      <w:r w:rsidR="00D172C4">
        <w:t xml:space="preserve"> Equality Act 2010 introduced the </w:t>
      </w:r>
      <w:r w:rsidRPr="002E2735">
        <w:t xml:space="preserve">Public Sector Equality Duty (PSED) which requires public authorities, in the exercise of their functions, to have due regard to the need to: </w:t>
      </w:r>
    </w:p>
    <w:p w14:paraId="365C21E5" w14:textId="77777777" w:rsidR="002E2735" w:rsidRPr="002E2735" w:rsidRDefault="002E2735" w:rsidP="002E2735"/>
    <w:p w14:paraId="078D239D" w14:textId="77777777" w:rsidR="002E2735" w:rsidRPr="002E2735" w:rsidRDefault="002E2735" w:rsidP="002E2735">
      <w:pPr>
        <w:numPr>
          <w:ilvl w:val="0"/>
          <w:numId w:val="1"/>
        </w:numPr>
      </w:pPr>
      <w:r w:rsidRPr="002E2735">
        <w:t>Eliminate unlawful discrimination, harassment and victimisation and other conduct prohibited by the Act;</w:t>
      </w:r>
    </w:p>
    <w:p w14:paraId="4C9BF435" w14:textId="77777777" w:rsidR="002E2735" w:rsidRPr="002E2735" w:rsidRDefault="002E2735" w:rsidP="002E2735">
      <w:pPr>
        <w:numPr>
          <w:ilvl w:val="0"/>
          <w:numId w:val="1"/>
        </w:numPr>
      </w:pPr>
      <w:r w:rsidRPr="002E2735">
        <w:t>Advance equality of opportunity between people who share a protected characteristic and those who do not; and</w:t>
      </w:r>
    </w:p>
    <w:p w14:paraId="15F47B9C" w14:textId="77777777" w:rsidR="002E2735" w:rsidRPr="002E2735" w:rsidRDefault="002E2735" w:rsidP="002E2735">
      <w:pPr>
        <w:numPr>
          <w:ilvl w:val="0"/>
          <w:numId w:val="1"/>
        </w:numPr>
      </w:pPr>
      <w:r w:rsidRPr="002E2735">
        <w:t xml:space="preserve">Foster good relations between people who share a protected characteristic and those who do not.  </w:t>
      </w:r>
    </w:p>
    <w:p w14:paraId="5F36C7CB" w14:textId="77777777" w:rsidR="002E2735" w:rsidRPr="002E2735" w:rsidRDefault="002E2735" w:rsidP="002E2735"/>
    <w:p w14:paraId="678227E9" w14:textId="6DFAF156" w:rsidR="002E2735" w:rsidRPr="002E2735" w:rsidRDefault="002E2735" w:rsidP="002E2735">
      <w:r w:rsidRPr="002E2735">
        <w:t xml:space="preserve">The PSED </w:t>
      </w:r>
      <w:r w:rsidR="00D172C4">
        <w:t xml:space="preserve">covers nine </w:t>
      </w:r>
      <w:r w:rsidRPr="002E2735">
        <w:t>protected characteristics:</w:t>
      </w:r>
    </w:p>
    <w:p w14:paraId="0742139A" w14:textId="77777777" w:rsidR="002E2735" w:rsidRPr="002E2735" w:rsidRDefault="002E2735" w:rsidP="002E2735"/>
    <w:p w14:paraId="0CF6BB63" w14:textId="77777777" w:rsidR="002E2735" w:rsidRPr="002E2735" w:rsidRDefault="002E2735" w:rsidP="002E2735">
      <w:pPr>
        <w:numPr>
          <w:ilvl w:val="0"/>
          <w:numId w:val="2"/>
        </w:numPr>
      </w:pPr>
      <w:r w:rsidRPr="002E2735">
        <w:t>Age</w:t>
      </w:r>
    </w:p>
    <w:p w14:paraId="707F8088" w14:textId="77777777" w:rsidR="002E2735" w:rsidRPr="002E2735" w:rsidRDefault="002E2735" w:rsidP="002E2735">
      <w:pPr>
        <w:numPr>
          <w:ilvl w:val="0"/>
          <w:numId w:val="2"/>
        </w:numPr>
      </w:pPr>
      <w:r w:rsidRPr="002E2735">
        <w:t>Disability</w:t>
      </w:r>
    </w:p>
    <w:p w14:paraId="6672CAC1" w14:textId="77777777" w:rsidR="002E2735" w:rsidRPr="002E2735" w:rsidRDefault="002E2735" w:rsidP="002E2735">
      <w:pPr>
        <w:numPr>
          <w:ilvl w:val="0"/>
          <w:numId w:val="2"/>
        </w:numPr>
      </w:pPr>
      <w:r w:rsidRPr="002E2735">
        <w:t>Gender Reassignment</w:t>
      </w:r>
    </w:p>
    <w:p w14:paraId="5CD936F0" w14:textId="77777777" w:rsidR="002E2735" w:rsidRPr="002E2735" w:rsidRDefault="002E2735" w:rsidP="002E2735">
      <w:pPr>
        <w:numPr>
          <w:ilvl w:val="0"/>
          <w:numId w:val="2"/>
        </w:numPr>
      </w:pPr>
      <w:r w:rsidRPr="002E2735">
        <w:t>Pregnancy and Maternity</w:t>
      </w:r>
    </w:p>
    <w:p w14:paraId="141D7373" w14:textId="77777777" w:rsidR="002E2735" w:rsidRPr="002E2735" w:rsidRDefault="002E2735" w:rsidP="002E2735">
      <w:pPr>
        <w:numPr>
          <w:ilvl w:val="0"/>
          <w:numId w:val="2"/>
        </w:numPr>
      </w:pPr>
      <w:r w:rsidRPr="002E2735">
        <w:t>Race – this includes ethnic or national origins, colour or nationality</w:t>
      </w:r>
    </w:p>
    <w:p w14:paraId="48E2C996" w14:textId="77777777" w:rsidR="002E2735" w:rsidRPr="002E2735" w:rsidRDefault="002E2735" w:rsidP="002E2735">
      <w:pPr>
        <w:numPr>
          <w:ilvl w:val="0"/>
          <w:numId w:val="2"/>
        </w:numPr>
      </w:pPr>
      <w:r w:rsidRPr="002E2735">
        <w:t>Religion or Belief – this includes lack of belief</w:t>
      </w:r>
    </w:p>
    <w:p w14:paraId="3F5C4BEB" w14:textId="77777777" w:rsidR="002E2735" w:rsidRPr="002E2735" w:rsidRDefault="002E2735" w:rsidP="002E2735">
      <w:pPr>
        <w:numPr>
          <w:ilvl w:val="0"/>
          <w:numId w:val="2"/>
        </w:numPr>
      </w:pPr>
      <w:r w:rsidRPr="002E2735">
        <w:t>Sex</w:t>
      </w:r>
    </w:p>
    <w:p w14:paraId="52D95AB3" w14:textId="77777777" w:rsidR="002E2735" w:rsidRPr="002E2735" w:rsidRDefault="002E2735" w:rsidP="002E2735">
      <w:pPr>
        <w:numPr>
          <w:ilvl w:val="0"/>
          <w:numId w:val="2"/>
        </w:numPr>
      </w:pPr>
      <w:r w:rsidRPr="002E2735">
        <w:t>Sexual Orientation</w:t>
      </w:r>
    </w:p>
    <w:p w14:paraId="7779672E" w14:textId="77777777" w:rsidR="002E2735" w:rsidRPr="002E2735" w:rsidRDefault="002E2735" w:rsidP="002E2735">
      <w:pPr>
        <w:numPr>
          <w:ilvl w:val="0"/>
          <w:numId w:val="2"/>
        </w:numPr>
      </w:pPr>
      <w:r w:rsidRPr="002E2735">
        <w:t xml:space="preserve">Marriage and Civil partnership </w:t>
      </w:r>
    </w:p>
    <w:p w14:paraId="484D17B3" w14:textId="77777777" w:rsidR="002E2735" w:rsidRDefault="002E2735" w:rsidP="00A55C91"/>
    <w:p w14:paraId="4C9C4F1E" w14:textId="51223CF4" w:rsidR="002E2735" w:rsidRPr="002E2735" w:rsidRDefault="00F52999" w:rsidP="002E2735">
      <w:pPr>
        <w:rPr>
          <w:bCs/>
        </w:rPr>
      </w:pPr>
      <w:r w:rsidRPr="002E2735">
        <w:t>Our vision for equality and diversity in Harrow is:</w:t>
      </w:r>
      <w:r w:rsidR="002E2735">
        <w:t xml:space="preserve"> </w:t>
      </w:r>
      <w:r w:rsidR="002E2735" w:rsidRPr="002E2735">
        <w:t xml:space="preserve"> “</w:t>
      </w:r>
      <w:r w:rsidR="002E2735" w:rsidRPr="002E2735">
        <w:rPr>
          <w:bCs/>
          <w:i/>
        </w:rPr>
        <w:t xml:space="preserve">A Proud, Fair &amp; Cohesive Harrow, a Great Place to Live, </w:t>
      </w:r>
      <w:proofErr w:type="gramStart"/>
      <w:r w:rsidR="002E2735" w:rsidRPr="002E2735">
        <w:rPr>
          <w:bCs/>
          <w:i/>
        </w:rPr>
        <w:t>Work</w:t>
      </w:r>
      <w:proofErr w:type="gramEnd"/>
      <w:r w:rsidR="002E2735" w:rsidRPr="002E2735">
        <w:rPr>
          <w:bCs/>
          <w:i/>
        </w:rPr>
        <w:t xml:space="preserve"> &amp; Visit</w:t>
      </w:r>
      <w:r w:rsidR="002E2735" w:rsidRPr="002E2735">
        <w:rPr>
          <w:bCs/>
        </w:rPr>
        <w:t xml:space="preserve">”. In order to achieve this vision we </w:t>
      </w:r>
      <w:r w:rsidR="001066E3">
        <w:rPr>
          <w:bCs/>
        </w:rPr>
        <w:t>set</w:t>
      </w:r>
      <w:r w:rsidR="002E2735" w:rsidRPr="002E2735">
        <w:rPr>
          <w:bCs/>
        </w:rPr>
        <w:t xml:space="preserve"> </w:t>
      </w:r>
      <w:r w:rsidR="002E2735" w:rsidRPr="002E2735">
        <w:t>three Corporate Equality Objectives</w:t>
      </w:r>
      <w:r w:rsidR="00D172C4">
        <w:t>,</w:t>
      </w:r>
      <w:r w:rsidR="002E2735" w:rsidRPr="002E2735">
        <w:t xml:space="preserve"> as set out in the ‘Harrow Council Corporate Plan 2015-19, which are:</w:t>
      </w:r>
    </w:p>
    <w:p w14:paraId="239420CB" w14:textId="77777777" w:rsidR="002E2735" w:rsidRPr="002E2735" w:rsidRDefault="002E2735" w:rsidP="002E2735"/>
    <w:p w14:paraId="04BADEFF" w14:textId="77777777" w:rsidR="002E2735" w:rsidRPr="002E2735" w:rsidRDefault="002E2735" w:rsidP="002E2735">
      <w:pPr>
        <w:numPr>
          <w:ilvl w:val="0"/>
          <w:numId w:val="19"/>
        </w:numPr>
      </w:pPr>
      <w:r w:rsidRPr="002E2735">
        <w:t>An inclusive workforce that feels valued, respected and reflects our community</w:t>
      </w:r>
    </w:p>
    <w:p w14:paraId="1009888C" w14:textId="77777777" w:rsidR="002E2735" w:rsidRPr="002E2735" w:rsidRDefault="002E2735" w:rsidP="002E2735"/>
    <w:p w14:paraId="58C82745" w14:textId="77777777" w:rsidR="002E2735" w:rsidRPr="002E2735" w:rsidRDefault="002E2735" w:rsidP="002E2735">
      <w:pPr>
        <w:numPr>
          <w:ilvl w:val="0"/>
          <w:numId w:val="19"/>
        </w:numPr>
      </w:pPr>
      <w:r w:rsidRPr="002E2735">
        <w:t>An improved understanding of our communities to ensure that services are fair, equitable and accessible to all and reduce inequality</w:t>
      </w:r>
    </w:p>
    <w:p w14:paraId="119755B1" w14:textId="77777777" w:rsidR="002E2735" w:rsidRPr="002E2735" w:rsidRDefault="002E2735" w:rsidP="002E2735"/>
    <w:p w14:paraId="75BF0FAF" w14:textId="77777777" w:rsidR="002E2735" w:rsidRPr="002E2735" w:rsidRDefault="002E2735" w:rsidP="002E2735">
      <w:pPr>
        <w:numPr>
          <w:ilvl w:val="0"/>
          <w:numId w:val="19"/>
        </w:numPr>
      </w:pPr>
      <w:r w:rsidRPr="002E2735">
        <w:t>Promote and celebrate the diversity of our borough and foster community cohesion</w:t>
      </w:r>
    </w:p>
    <w:p w14:paraId="40A1FEC8" w14:textId="77777777" w:rsidR="00F52999" w:rsidRPr="003D4D06" w:rsidRDefault="00F52999" w:rsidP="00A55C91"/>
    <w:p w14:paraId="0B1441A2" w14:textId="77777777" w:rsidR="00A55C91"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w:color w:val="000000"/>
          <w:szCs w:val="23"/>
          <w:lang w:val="en-US"/>
        </w:rPr>
      </w:pPr>
      <w:r w:rsidRPr="007C3926">
        <w:rPr>
          <w:rFonts w:cs="Helvetica"/>
          <w:color w:val="000000"/>
          <w:szCs w:val="23"/>
          <w:lang w:val="en-US"/>
        </w:rPr>
        <w:t xml:space="preserve">As an employer, </w:t>
      </w:r>
      <w:r>
        <w:rPr>
          <w:rFonts w:cs="Helvetica"/>
          <w:color w:val="000000"/>
          <w:szCs w:val="23"/>
          <w:lang w:val="en-US"/>
        </w:rPr>
        <w:t xml:space="preserve">we are committed to employing </w:t>
      </w:r>
      <w:r w:rsidRPr="007C3926">
        <w:rPr>
          <w:rFonts w:cs="Helvetica"/>
          <w:color w:val="000000"/>
          <w:szCs w:val="23"/>
          <w:lang w:val="en-US"/>
        </w:rPr>
        <w:t>a d</w:t>
      </w:r>
      <w:r>
        <w:rPr>
          <w:rFonts w:cs="Helvetica"/>
          <w:color w:val="000000"/>
          <w:szCs w:val="23"/>
          <w:lang w:val="en-US"/>
        </w:rPr>
        <w:t>iverse workforce, to help us</w:t>
      </w:r>
      <w:r w:rsidRPr="007C3926">
        <w:rPr>
          <w:rFonts w:cs="Helvetica"/>
          <w:color w:val="000000"/>
          <w:szCs w:val="23"/>
          <w:lang w:val="en-US"/>
        </w:rPr>
        <w:t xml:space="preserve"> </w:t>
      </w:r>
      <w:r>
        <w:rPr>
          <w:rFonts w:cs="Helvetica"/>
          <w:color w:val="000000"/>
          <w:szCs w:val="23"/>
          <w:lang w:val="en-US"/>
        </w:rPr>
        <w:t xml:space="preserve">to </w:t>
      </w:r>
      <w:r w:rsidRPr="007C3926">
        <w:rPr>
          <w:rFonts w:cs="Helvetica"/>
          <w:color w:val="000000"/>
          <w:szCs w:val="23"/>
          <w:lang w:val="en-US"/>
        </w:rPr>
        <w:t>understan</w:t>
      </w:r>
      <w:r>
        <w:rPr>
          <w:rFonts w:cs="Helvetica"/>
          <w:color w:val="000000"/>
          <w:szCs w:val="23"/>
          <w:lang w:val="en-US"/>
        </w:rPr>
        <w:t>d and relate to the community we</w:t>
      </w:r>
      <w:r w:rsidRPr="007C3926">
        <w:rPr>
          <w:rFonts w:cs="Helvetica"/>
          <w:color w:val="000000"/>
          <w:szCs w:val="23"/>
          <w:lang w:val="en-US"/>
        </w:rPr>
        <w:t xml:space="preserve"> serve. </w:t>
      </w:r>
      <w:r>
        <w:rPr>
          <w:rFonts w:cs="Helvetica"/>
          <w:color w:val="000000"/>
          <w:szCs w:val="23"/>
          <w:lang w:val="en-US"/>
        </w:rPr>
        <w:t xml:space="preserve"> </w:t>
      </w:r>
      <w:r w:rsidRPr="007C3926">
        <w:rPr>
          <w:rFonts w:cs="Helvetica"/>
          <w:color w:val="000000"/>
          <w:szCs w:val="23"/>
          <w:lang w:val="en-US"/>
        </w:rPr>
        <w:t>Through our recruitment policies and practices</w:t>
      </w:r>
      <w:r>
        <w:rPr>
          <w:rFonts w:cs="Helvetica"/>
          <w:color w:val="000000"/>
          <w:szCs w:val="23"/>
          <w:lang w:val="en-US"/>
        </w:rPr>
        <w:t>,</w:t>
      </w:r>
      <w:r w:rsidRPr="007C3926">
        <w:rPr>
          <w:rFonts w:cs="Helvetica"/>
          <w:color w:val="000000"/>
          <w:szCs w:val="23"/>
          <w:lang w:val="en-US"/>
        </w:rPr>
        <w:t xml:space="preserve"> w</w:t>
      </w:r>
      <w:r>
        <w:rPr>
          <w:rFonts w:cs="Helvetica"/>
          <w:color w:val="000000"/>
          <w:szCs w:val="23"/>
          <w:lang w:val="en-US"/>
        </w:rPr>
        <w:t xml:space="preserve">e will aim to improve on our record and explore further initiatives and opportunities </w:t>
      </w:r>
      <w:r w:rsidRPr="007C3926">
        <w:rPr>
          <w:rFonts w:cs="Helvetica"/>
          <w:color w:val="000000"/>
          <w:szCs w:val="23"/>
          <w:lang w:val="en-US"/>
        </w:rPr>
        <w:t xml:space="preserve">to encourage </w:t>
      </w:r>
      <w:r>
        <w:rPr>
          <w:rFonts w:cs="Helvetica"/>
          <w:color w:val="000000"/>
          <w:szCs w:val="23"/>
          <w:lang w:val="en-US"/>
        </w:rPr>
        <w:t xml:space="preserve">applicants from all sections of the community to consider joining us. </w:t>
      </w:r>
    </w:p>
    <w:p w14:paraId="23268ABE" w14:textId="77777777" w:rsidR="00A55C91"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w:color w:val="000000"/>
          <w:szCs w:val="23"/>
          <w:lang w:val="en-US"/>
        </w:rPr>
      </w:pPr>
    </w:p>
    <w:p w14:paraId="18A558EB" w14:textId="198EEBDD" w:rsidR="00A55C91"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w:color w:val="000000"/>
          <w:szCs w:val="23"/>
          <w:lang w:val="en-US"/>
        </w:rPr>
      </w:pPr>
      <w:r>
        <w:rPr>
          <w:rFonts w:cs="Helvetica"/>
          <w:color w:val="000000"/>
          <w:szCs w:val="23"/>
          <w:lang w:val="en-US"/>
        </w:rPr>
        <w:t>As a service provider</w:t>
      </w:r>
      <w:r w:rsidR="009A6FD4">
        <w:rPr>
          <w:rFonts w:cs="Helvetica"/>
          <w:color w:val="000000"/>
          <w:szCs w:val="23"/>
          <w:lang w:val="en-US"/>
        </w:rPr>
        <w:t xml:space="preserve"> and commissioner</w:t>
      </w:r>
      <w:r>
        <w:rPr>
          <w:rFonts w:cs="Helvetica"/>
          <w:color w:val="000000"/>
          <w:szCs w:val="23"/>
          <w:lang w:val="en-US"/>
        </w:rPr>
        <w:t xml:space="preserve">, we are committed to ensuring our services are open, fair and accessible by taking into consideration the needs and requirements of our diverse community and service users.  We will continue to improve our services through a comprehensive Equality Impact Assessment (EqIA) process, engaging with and listening to our communities and service users. </w:t>
      </w:r>
    </w:p>
    <w:p w14:paraId="1A50E433" w14:textId="77777777" w:rsidR="00A55C91" w:rsidRDefault="00A55C91"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Helvetica"/>
          <w:color w:val="000000"/>
          <w:szCs w:val="23"/>
          <w:lang w:val="en-US"/>
        </w:rPr>
      </w:pPr>
    </w:p>
    <w:p w14:paraId="2C4F2E2D" w14:textId="336CA80B" w:rsidR="00A55C91" w:rsidRDefault="009A6FD4" w:rsidP="00A55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Lucida Sans"/>
          <w:szCs w:val="26"/>
          <w:lang w:val="en-US"/>
        </w:rPr>
      </w:pPr>
      <w:r>
        <w:rPr>
          <w:rFonts w:cs="Lucida Sans"/>
          <w:szCs w:val="26"/>
          <w:lang w:val="en-US"/>
        </w:rPr>
        <w:t>As a community leader, w</w:t>
      </w:r>
      <w:r w:rsidRPr="008F2451">
        <w:rPr>
          <w:rFonts w:cs="Lucida Sans"/>
          <w:szCs w:val="26"/>
          <w:lang w:val="en-US"/>
        </w:rPr>
        <w:t>e will continue to work in partnership with the public, voluntary and private sector</w:t>
      </w:r>
      <w:r>
        <w:rPr>
          <w:rFonts w:cs="Lucida Sans"/>
          <w:szCs w:val="26"/>
          <w:lang w:val="en-US"/>
        </w:rPr>
        <w:t>s</w:t>
      </w:r>
      <w:r w:rsidRPr="008F2451">
        <w:rPr>
          <w:rFonts w:cs="Lucida Sans"/>
          <w:szCs w:val="26"/>
          <w:lang w:val="en-US"/>
        </w:rPr>
        <w:t xml:space="preserve"> t</w:t>
      </w:r>
      <w:r>
        <w:rPr>
          <w:rFonts w:cs="Lucida Sans"/>
          <w:szCs w:val="26"/>
          <w:lang w:val="en-US"/>
        </w:rPr>
        <w:t>o foster good relations in our community</w:t>
      </w:r>
      <w:r w:rsidR="00F52999">
        <w:rPr>
          <w:rFonts w:cs="Lucida Sans"/>
          <w:szCs w:val="26"/>
          <w:lang w:val="en-US"/>
        </w:rPr>
        <w:t xml:space="preserve"> and ensure people from all backgrounds continue to get on well with each other.</w:t>
      </w:r>
    </w:p>
    <w:p w14:paraId="61663A54" w14:textId="29D88295" w:rsidR="009A6FD4" w:rsidRDefault="009A6FD4">
      <w:pPr>
        <w:rPr>
          <w:rFonts w:cs="Lucida Sans"/>
          <w:szCs w:val="26"/>
          <w:lang w:val="en-US"/>
        </w:rPr>
      </w:pPr>
      <w:r>
        <w:rPr>
          <w:rFonts w:cs="Lucida Sans"/>
          <w:szCs w:val="26"/>
          <w:lang w:val="en-US"/>
        </w:rPr>
        <w:br w:type="page"/>
      </w:r>
    </w:p>
    <w:p w14:paraId="323E42A1" w14:textId="77777777" w:rsidR="009A6FD4" w:rsidRDefault="009A6FD4" w:rsidP="00A55C91">
      <w:pPr>
        <w:rPr>
          <w:color w:val="3E007A"/>
          <w:sz w:val="32"/>
          <w:szCs w:val="32"/>
        </w:rPr>
      </w:pPr>
    </w:p>
    <w:p w14:paraId="743B647C" w14:textId="41BF4B1C" w:rsidR="0037482E" w:rsidRPr="00F52999" w:rsidRDefault="0037482E" w:rsidP="00F52999">
      <w:pPr>
        <w:pStyle w:val="ListParagraph"/>
        <w:numPr>
          <w:ilvl w:val="0"/>
          <w:numId w:val="15"/>
        </w:numPr>
        <w:rPr>
          <w:color w:val="3E007A"/>
          <w:sz w:val="32"/>
          <w:szCs w:val="32"/>
        </w:rPr>
      </w:pPr>
      <w:r w:rsidRPr="00F52999">
        <w:rPr>
          <w:color w:val="3E007A"/>
          <w:sz w:val="32"/>
          <w:szCs w:val="32"/>
        </w:rPr>
        <w:t>Our Harrow, Our Community</w:t>
      </w:r>
      <w:r w:rsidR="009A6FD4" w:rsidRPr="00F52999">
        <w:rPr>
          <w:color w:val="3E007A"/>
          <w:sz w:val="32"/>
          <w:szCs w:val="32"/>
        </w:rPr>
        <w:t xml:space="preserve"> – Equalities Profile</w:t>
      </w:r>
    </w:p>
    <w:p w14:paraId="59155CC2" w14:textId="77777777" w:rsidR="00A86530" w:rsidRPr="00A86530" w:rsidRDefault="00A86530" w:rsidP="001309BD">
      <w:pPr>
        <w:rPr>
          <w:rFonts w:eastAsia="Arial"/>
          <w:b/>
          <w:i/>
          <w:color w:val="3E007A"/>
          <w:sz w:val="28"/>
          <w:szCs w:val="28"/>
        </w:rPr>
      </w:pPr>
    </w:p>
    <w:p w14:paraId="23945D56" w14:textId="2852A424" w:rsidR="001309BD" w:rsidRPr="00382606" w:rsidRDefault="001309BD" w:rsidP="001309BD">
      <w:pPr>
        <w:rPr>
          <w:lang w:val="en-US"/>
        </w:rPr>
      </w:pPr>
      <w:r w:rsidRPr="00382606">
        <w:rPr>
          <w:lang w:val="en-US"/>
        </w:rPr>
        <w:t>Harrow prides itself in being one of the most ethnically and religiously diverse boroughs in the country with people of many different backgrounds and life experiences living side by side. It is the richness of this diversity, and the positive impact that it has on the borough and our community, that we believe helps make Harrow such a great place to live, work and visit.</w:t>
      </w:r>
      <w:r w:rsidR="00F52999">
        <w:rPr>
          <w:lang w:val="en-US"/>
        </w:rPr>
        <w:t xml:space="preserve"> The following </w:t>
      </w:r>
      <w:r w:rsidR="001066E3">
        <w:rPr>
          <w:lang w:val="en-US"/>
        </w:rPr>
        <w:t xml:space="preserve">headline </w:t>
      </w:r>
      <w:r w:rsidR="00F52999">
        <w:rPr>
          <w:lang w:val="en-US"/>
        </w:rPr>
        <w:t>data and information provides a profile of equality and diversity in Harrow. The information is updated</w:t>
      </w:r>
      <w:r w:rsidR="00373AB8">
        <w:rPr>
          <w:lang w:val="en-US"/>
        </w:rPr>
        <w:t xml:space="preserve"> annually and is based on the latest available information</w:t>
      </w:r>
      <w:r w:rsidR="00D172C4">
        <w:rPr>
          <w:lang w:val="en-US"/>
        </w:rPr>
        <w:t xml:space="preserve"> as at March 2018</w:t>
      </w:r>
      <w:r w:rsidR="00373AB8">
        <w:rPr>
          <w:lang w:val="en-US"/>
        </w:rPr>
        <w:t xml:space="preserve"> (</w:t>
      </w:r>
      <w:r w:rsidR="001066E3">
        <w:rPr>
          <w:lang w:val="en-US"/>
        </w:rPr>
        <w:t xml:space="preserve">n.b </w:t>
      </w:r>
      <w:r w:rsidR="00373AB8">
        <w:rPr>
          <w:lang w:val="en-US"/>
        </w:rPr>
        <w:t>not all information is updated annually.)</w:t>
      </w:r>
      <w:r w:rsidR="00F820BA">
        <w:rPr>
          <w:lang w:val="en-US"/>
        </w:rPr>
        <w:t xml:space="preserve"> M</w:t>
      </w:r>
      <w:r w:rsidR="001066E3">
        <w:rPr>
          <w:lang w:val="en-US"/>
        </w:rPr>
        <w:t>ore detailed information can be found in the respective strategies, links to which are available on the Council’s website.</w:t>
      </w:r>
    </w:p>
    <w:p w14:paraId="0DCD8470" w14:textId="77777777" w:rsidR="001309BD" w:rsidRDefault="001309BD" w:rsidP="001309BD">
      <w:pPr>
        <w:rPr>
          <w:rFonts w:eastAsia="Arial"/>
        </w:rPr>
      </w:pPr>
    </w:p>
    <w:p w14:paraId="36418894" w14:textId="1BD1E9D9" w:rsidR="00CD11BB" w:rsidRPr="00CD11BB" w:rsidRDefault="00CD11BB" w:rsidP="001309BD">
      <w:pPr>
        <w:rPr>
          <w:rFonts w:eastAsia="Arial"/>
          <w:b/>
          <w:color w:val="FFC000"/>
        </w:rPr>
      </w:pPr>
      <w:r w:rsidRPr="00CD11BB">
        <w:rPr>
          <w:rFonts w:eastAsia="Arial"/>
          <w:b/>
          <w:color w:val="FFC000"/>
        </w:rPr>
        <w:t>PROTECTED CHARCTERISTICS</w:t>
      </w:r>
    </w:p>
    <w:p w14:paraId="0B216950" w14:textId="77777777" w:rsidR="00CD11BB" w:rsidRPr="00382606" w:rsidRDefault="00CD11BB" w:rsidP="001309BD">
      <w:pPr>
        <w:rPr>
          <w:rFonts w:eastAsia="Arial"/>
        </w:rPr>
      </w:pPr>
    </w:p>
    <w:p w14:paraId="205E6826" w14:textId="68321A2A" w:rsidR="001309BD" w:rsidRPr="00382606" w:rsidRDefault="001309BD" w:rsidP="001309BD">
      <w:pPr>
        <w:rPr>
          <w:lang w:val="en-US"/>
        </w:rPr>
      </w:pPr>
      <w:r w:rsidRPr="00CA5382">
        <w:rPr>
          <w:color w:val="3E007A"/>
        </w:rPr>
        <w:t>Population:</w:t>
      </w:r>
      <w:r w:rsidRPr="00382606">
        <w:rPr>
          <w:rFonts w:eastAsia="Batang"/>
          <w:lang w:val="en-US" w:eastAsia="ko-KR"/>
        </w:rPr>
        <w:t xml:space="preserve"> Harrow’s resident population is estimated to be </w:t>
      </w:r>
      <w:r>
        <w:rPr>
          <w:rFonts w:eastAsia="Batang"/>
          <w:lang w:val="en-US" w:eastAsia="ko-KR"/>
        </w:rPr>
        <w:t>248,750</w:t>
      </w:r>
      <w:r w:rsidRPr="00382606">
        <w:rPr>
          <w:rFonts w:eastAsia="Batang"/>
          <w:vertAlign w:val="superscript"/>
          <w:lang w:val="en-US" w:eastAsia="ko-KR"/>
        </w:rPr>
        <w:footnoteReference w:id="1"/>
      </w:r>
      <w:r w:rsidR="00373AB8">
        <w:rPr>
          <w:rFonts w:eastAsia="Batang"/>
          <w:lang w:val="en-US" w:eastAsia="ko-KR"/>
        </w:rPr>
        <w:t xml:space="preserve"> so Harrow’s population is estimated to have increased by 42,550 (20.5%) since 2001.</w:t>
      </w:r>
    </w:p>
    <w:p w14:paraId="60CE3AC4" w14:textId="77777777" w:rsidR="001309BD" w:rsidRPr="00382606" w:rsidRDefault="001309BD" w:rsidP="001309BD">
      <w:pPr>
        <w:rPr>
          <w:color w:val="7030A0"/>
        </w:rPr>
      </w:pPr>
    </w:p>
    <w:p w14:paraId="495EB6B9" w14:textId="4F195452" w:rsidR="001309BD" w:rsidRDefault="001309BD" w:rsidP="00C82C38">
      <w:pPr>
        <w:autoSpaceDE w:val="0"/>
        <w:autoSpaceDN w:val="0"/>
        <w:adjustRightInd w:val="0"/>
      </w:pPr>
      <w:r w:rsidRPr="00CA5382">
        <w:rPr>
          <w:color w:val="3E007A"/>
        </w:rPr>
        <w:t>Age –</w:t>
      </w:r>
      <w:r w:rsidRPr="00382606">
        <w:rPr>
          <w:color w:val="3E007A"/>
        </w:rPr>
        <w:t xml:space="preserve"> </w:t>
      </w:r>
      <w:r w:rsidRPr="00382606">
        <w:rPr>
          <w:rFonts w:eastAsia="Batang"/>
          <w:lang w:val="en-US" w:eastAsia="ko-KR"/>
        </w:rPr>
        <w:t>20.</w:t>
      </w:r>
      <w:r>
        <w:rPr>
          <w:rFonts w:eastAsia="Batang"/>
          <w:lang w:val="en-US" w:eastAsia="ko-KR"/>
        </w:rPr>
        <w:t>6</w:t>
      </w:r>
      <w:r w:rsidRPr="00382606">
        <w:rPr>
          <w:rFonts w:eastAsia="Batang"/>
          <w:lang w:val="en-US" w:eastAsia="ko-KR"/>
        </w:rPr>
        <w:t xml:space="preserve">% of Harrow’s residents are under 16. </w:t>
      </w:r>
      <w:r>
        <w:rPr>
          <w:rFonts w:eastAsia="Batang"/>
          <w:lang w:val="en-US" w:eastAsia="ko-KR"/>
        </w:rPr>
        <w:t>64.2</w:t>
      </w:r>
      <w:r w:rsidRPr="00382606">
        <w:rPr>
          <w:rFonts w:eastAsia="Batang"/>
          <w:lang w:val="en-US" w:eastAsia="ko-KR"/>
        </w:rPr>
        <w:t xml:space="preserve">% of Harrow’s population are of working age (16 to 64) and </w:t>
      </w:r>
      <w:r>
        <w:rPr>
          <w:rFonts w:eastAsia="Batang"/>
          <w:lang w:val="en-US" w:eastAsia="ko-KR"/>
        </w:rPr>
        <w:t>15.2</w:t>
      </w:r>
      <w:r w:rsidRPr="00382606">
        <w:rPr>
          <w:rFonts w:eastAsia="Batang"/>
          <w:lang w:val="en-US" w:eastAsia="ko-KR"/>
        </w:rPr>
        <w:t>% of Harrow’s residents are 65 or older.</w:t>
      </w:r>
      <w:r w:rsidRPr="00382606">
        <w:rPr>
          <w:rFonts w:eastAsia="Batang"/>
          <w:vertAlign w:val="superscript"/>
          <w:lang w:val="en-US" w:eastAsia="ko-KR"/>
        </w:rPr>
        <w:footnoteReference w:id="2"/>
      </w:r>
      <w:r w:rsidRPr="00382606">
        <w:rPr>
          <w:rFonts w:eastAsia="Batang"/>
          <w:lang w:val="en-US" w:eastAsia="ko-KR"/>
        </w:rPr>
        <w:t xml:space="preserve"> The average (median) age is 3</w:t>
      </w:r>
      <w:r>
        <w:rPr>
          <w:rFonts w:eastAsia="Batang"/>
          <w:lang w:val="en-US" w:eastAsia="ko-KR"/>
        </w:rPr>
        <w:t>7.4</w:t>
      </w:r>
      <w:r w:rsidRPr="00382606">
        <w:rPr>
          <w:rFonts w:eastAsia="Batang"/>
          <w:lang w:val="en-US" w:eastAsia="ko-KR"/>
        </w:rPr>
        <w:t xml:space="preserve"> years, lower than </w:t>
      </w:r>
      <w:r>
        <w:rPr>
          <w:rFonts w:eastAsia="Batang"/>
          <w:lang w:val="en-US" w:eastAsia="ko-KR"/>
        </w:rPr>
        <w:t>many</w:t>
      </w:r>
      <w:r w:rsidRPr="00382606">
        <w:rPr>
          <w:rFonts w:eastAsia="Batang"/>
          <w:lang w:val="en-US" w:eastAsia="ko-KR"/>
        </w:rPr>
        <w:t xml:space="preserve"> other places</w:t>
      </w:r>
      <w:r w:rsidRPr="00382606">
        <w:rPr>
          <w:rFonts w:eastAsia="Batang"/>
          <w:vertAlign w:val="superscript"/>
          <w:lang w:val="en-US" w:eastAsia="ko-KR"/>
        </w:rPr>
        <w:footnoteReference w:id="3"/>
      </w:r>
      <w:r w:rsidRPr="00382606">
        <w:rPr>
          <w:rFonts w:eastAsia="Batang"/>
          <w:lang w:val="en-US" w:eastAsia="ko-KR"/>
        </w:rPr>
        <w:t>.</w:t>
      </w:r>
      <w:r w:rsidRPr="00382606">
        <w:t xml:space="preserve"> As with most areas in the country, the borough has an aging population</w:t>
      </w:r>
      <w:r w:rsidRPr="00590406">
        <w:t xml:space="preserve">. It is expected that the number of residents aged 65 plus will increase by </w:t>
      </w:r>
      <w:r w:rsidRPr="00DE3334">
        <w:t>41</w:t>
      </w:r>
      <w:r w:rsidRPr="00590406">
        <w:t>% and those aged 85 plus could increase by over 6</w:t>
      </w:r>
      <w:r w:rsidRPr="00DE3334">
        <w:t>7</w:t>
      </w:r>
      <w:r w:rsidRPr="00590406">
        <w:t>% by 20</w:t>
      </w:r>
      <w:r w:rsidRPr="00DE3334">
        <w:t>31</w:t>
      </w:r>
      <w:r w:rsidRPr="00590406">
        <w:rPr>
          <w:rStyle w:val="FootnoteReference"/>
        </w:rPr>
        <w:footnoteReference w:id="4"/>
      </w:r>
      <w:r w:rsidRPr="00590406">
        <w:t>.</w:t>
      </w:r>
      <w:r w:rsidR="00C82C38">
        <w:t xml:space="preserve"> It is al</w:t>
      </w:r>
      <w:r w:rsidR="00EF6320">
        <w:t xml:space="preserve">so expected that the number of </w:t>
      </w:r>
      <w:r w:rsidR="00C82C38">
        <w:t>children (0-15) will</w:t>
      </w:r>
      <w:r w:rsidR="007A6C73">
        <w:t xml:space="preserve"> </w:t>
      </w:r>
      <w:r w:rsidR="00C82C38">
        <w:t xml:space="preserve">also increase by 14% during the 10 year period </w:t>
      </w:r>
      <w:proofErr w:type="gramStart"/>
      <w:r w:rsidR="00C82C38">
        <w:t>between 2014 – 2024</w:t>
      </w:r>
      <w:proofErr w:type="gramEnd"/>
      <w:r w:rsidR="00C82C38">
        <w:t>.</w:t>
      </w:r>
    </w:p>
    <w:p w14:paraId="04216F8E" w14:textId="77777777" w:rsidR="0041590F" w:rsidRDefault="0041590F" w:rsidP="00C82C38">
      <w:pPr>
        <w:autoSpaceDE w:val="0"/>
        <w:autoSpaceDN w:val="0"/>
        <w:adjustRightInd w:val="0"/>
      </w:pPr>
    </w:p>
    <w:p w14:paraId="22A61E73" w14:textId="621CC7BE" w:rsidR="0048139E" w:rsidRPr="0048139E" w:rsidRDefault="00373AB8" w:rsidP="0048139E">
      <w:r w:rsidRPr="00530898">
        <w:rPr>
          <w:color w:val="3E007A"/>
        </w:rPr>
        <w:t xml:space="preserve">Disability – </w:t>
      </w:r>
      <w:r w:rsidRPr="00DE3334">
        <w:t>13.7</w:t>
      </w:r>
      <w:r w:rsidRPr="00530898">
        <w:t xml:space="preserve">% of Harrow’s working age population classified themselves as disabled, a total of </w:t>
      </w:r>
      <w:r w:rsidRPr="00DE3334">
        <w:t>22,100</w:t>
      </w:r>
      <w:r w:rsidRPr="00530898">
        <w:t xml:space="preserve"> people</w:t>
      </w:r>
      <w:r w:rsidRPr="00C13C8E">
        <w:rPr>
          <w:vertAlign w:val="superscript"/>
        </w:rPr>
        <w:footnoteReference w:id="5"/>
      </w:r>
      <w:r w:rsidRPr="00C13C8E">
        <w:t xml:space="preserve">. </w:t>
      </w:r>
      <w:r w:rsidRPr="00DE3334">
        <w:t>6,470</w:t>
      </w:r>
      <w:r w:rsidRPr="00C13C8E">
        <w:t xml:space="preserve"> individuals, </w:t>
      </w:r>
      <w:r w:rsidRPr="00DE3334">
        <w:t>2.6</w:t>
      </w:r>
      <w:r w:rsidRPr="00C13C8E">
        <w:t>% of the total population, receive Disability Living Allowance.</w:t>
      </w:r>
      <w:r w:rsidRPr="00C13C8E">
        <w:rPr>
          <w:vertAlign w:val="superscript"/>
        </w:rPr>
        <w:footnoteReference w:id="6"/>
      </w:r>
      <w:r w:rsidR="0048139E" w:rsidRPr="0048139E">
        <w:rPr>
          <w:rFonts w:eastAsia="Arial"/>
          <w:szCs w:val="32"/>
        </w:rPr>
        <w:t xml:space="preserve"> </w:t>
      </w:r>
      <w:r w:rsidR="0048139E" w:rsidRPr="0048139E">
        <w:t>A total of 2302 people received long term social care services primarily for physical suppor</w:t>
      </w:r>
      <w:r w:rsidR="00F820BA">
        <w:t>t needs during 2016-17.  This i</w:t>
      </w:r>
      <w:r w:rsidR="0048139E" w:rsidRPr="0048139E">
        <w:t xml:space="preserve">s about 1% of the total resident population.  An additional 86 people received long term support primarily for sensory impairments. There were 575 Harrow residents receiving long-term social care support from Harrow Adult </w:t>
      </w:r>
      <w:r w:rsidR="0048139E" w:rsidRPr="0048139E">
        <w:lastRenderedPageBreak/>
        <w:t>Social Care Services for learnin</w:t>
      </w:r>
      <w:r w:rsidR="00F820BA">
        <w:t>g disabilities during ‘16-17</w:t>
      </w:r>
      <w:r w:rsidR="0048139E" w:rsidRPr="0048139E">
        <w:t>. 518 (approximately 90%) were younger adults under the age of 65. (</w:t>
      </w:r>
      <w:proofErr w:type="gramStart"/>
      <w:r w:rsidR="0048139E" w:rsidRPr="0048139E">
        <w:t>source</w:t>
      </w:r>
      <w:proofErr w:type="gramEnd"/>
      <w:r w:rsidR="0048139E" w:rsidRPr="0048139E">
        <w:t>: SALT). 18% of younger adults with learning disabilities were in paid employment during the year. In comparison to London (7.2%) and England (5.7%), Harrow has a high number of LD clients who are in employment. In 2016-17, 73% younger adults with learning disabilities were in settled accommodation (with security of tenure). This is slightly below the England average (76%), but is above that of London (71%).</w:t>
      </w:r>
    </w:p>
    <w:p w14:paraId="76C994C8" w14:textId="77777777" w:rsidR="00373AB8" w:rsidRDefault="00373AB8" w:rsidP="001309BD">
      <w:pPr>
        <w:rPr>
          <w:color w:val="3E007A"/>
        </w:rPr>
      </w:pPr>
    </w:p>
    <w:p w14:paraId="2E5DC5A0" w14:textId="14568CA1" w:rsidR="00373AB8" w:rsidRDefault="00373AB8" w:rsidP="001309BD">
      <w:r>
        <w:rPr>
          <w:color w:val="3E007A"/>
        </w:rPr>
        <w:t xml:space="preserve">Gender reassignment – </w:t>
      </w:r>
      <w:r w:rsidRPr="00A73DD5">
        <w:t xml:space="preserve">we </w:t>
      </w:r>
      <w:r w:rsidR="00A73DD5" w:rsidRPr="00A73DD5">
        <w:t xml:space="preserve">do </w:t>
      </w:r>
      <w:r w:rsidR="00A73DD5">
        <w:t>not hold and information on gender reassignment in Harrow.</w:t>
      </w:r>
    </w:p>
    <w:p w14:paraId="575DBCB3" w14:textId="77777777" w:rsidR="00A73DD5" w:rsidRDefault="00A73DD5" w:rsidP="001309BD"/>
    <w:p w14:paraId="421D126B" w14:textId="1419BF46" w:rsidR="00A73DD5" w:rsidRDefault="00A73DD5" w:rsidP="001309BD">
      <w:r w:rsidRPr="00A73DD5">
        <w:rPr>
          <w:color w:val="7030A0"/>
        </w:rPr>
        <w:t xml:space="preserve">Pregnancy and Maternity </w:t>
      </w:r>
      <w:r>
        <w:t>– in 2016 there were 14.5 live births per 1000 population which is higher than the UK averag</w:t>
      </w:r>
      <w:r w:rsidR="001066B0">
        <w:t>e of 11.8. The fertility rate is 2.03 children per woman, higher than the UK average of 1.79. For women under the age of 18, the birth rate was 3.7 per 1000 population which is in line with the London average of 3.8 and lower than the UK average of 5.7. Harrow has the lowest levels of live births outside of marriage in the country (19.4%)</w:t>
      </w:r>
      <w:r w:rsidR="001066B0">
        <w:rPr>
          <w:rStyle w:val="FootnoteReference"/>
        </w:rPr>
        <w:footnoteReference w:id="7"/>
      </w:r>
    </w:p>
    <w:p w14:paraId="15BF1015" w14:textId="77777777" w:rsidR="001309BD" w:rsidRPr="00DB0984" w:rsidRDefault="001309BD" w:rsidP="001309BD">
      <w:pPr>
        <w:rPr>
          <w:lang w:val="en-US"/>
        </w:rPr>
      </w:pPr>
    </w:p>
    <w:p w14:paraId="3109CA79" w14:textId="372CAF25" w:rsidR="001309BD" w:rsidRDefault="001309BD" w:rsidP="001309BD">
      <w:r w:rsidRPr="00F94C12">
        <w:rPr>
          <w:color w:val="3E007A"/>
        </w:rPr>
        <w:t xml:space="preserve">Race (Ethnicity) – </w:t>
      </w:r>
      <w:r w:rsidR="00C0312D">
        <w:t>61.8</w:t>
      </w:r>
      <w:r w:rsidRPr="00F94C12">
        <w:t>% of residents classify themselves as belonging to a minority ethnic group.</w:t>
      </w:r>
      <w:r w:rsidRPr="00F94C12">
        <w:rPr>
          <w:lang w:val="en-US"/>
        </w:rPr>
        <w:t xml:space="preserve"> </w:t>
      </w:r>
      <w:r w:rsidRPr="00E7497E">
        <w:t>The White Britis</w:t>
      </w:r>
      <w:r w:rsidR="00C0312D">
        <w:t>h group forms the remaining 38.2</w:t>
      </w:r>
      <w:r w:rsidRPr="00E7497E">
        <w:t>% of the population, (down</w:t>
      </w:r>
      <w:r w:rsidR="00EF6320">
        <w:t xml:space="preserve"> from 50% in 2001).  26.4% of Harrow’s residents are of Indian origin – the largest minority ethnic group in the borough, followed by Kenyans and Sri Lankans. Harrow is home to the largest</w:t>
      </w:r>
      <w:r w:rsidRPr="00527AE2">
        <w:t xml:space="preserve"> Sri Lankan </w:t>
      </w:r>
      <w:r w:rsidR="00EF6320">
        <w:t xml:space="preserve">born </w:t>
      </w:r>
      <w:r w:rsidRPr="00527AE2">
        <w:t>community</w:t>
      </w:r>
      <w:r w:rsidR="00EF6320">
        <w:t xml:space="preserve"> in the country</w:t>
      </w:r>
      <w:r w:rsidRPr="00527AE2">
        <w:t>.</w:t>
      </w:r>
      <w:r w:rsidRPr="00527AE2">
        <w:rPr>
          <w:lang w:val="en-US"/>
        </w:rPr>
        <w:t xml:space="preserve"> 8.2% of residents are ‘White </w:t>
      </w:r>
      <w:proofErr w:type="gramStart"/>
      <w:r w:rsidRPr="00527AE2">
        <w:rPr>
          <w:lang w:val="en-US"/>
        </w:rPr>
        <w:t>Other</w:t>
      </w:r>
      <w:proofErr w:type="gramEnd"/>
      <w:r w:rsidRPr="00527AE2">
        <w:rPr>
          <w:lang w:val="en-US"/>
        </w:rPr>
        <w:t xml:space="preserve">’, </w:t>
      </w:r>
      <w:r w:rsidR="00EF6320">
        <w:t xml:space="preserve">up from 4.5% in 2001. </w:t>
      </w:r>
    </w:p>
    <w:p w14:paraId="1CE873A9" w14:textId="77777777" w:rsidR="00EF6320" w:rsidRDefault="00EF6320" w:rsidP="001309BD"/>
    <w:p w14:paraId="3DB282FD" w14:textId="104EDAE2" w:rsidR="00EF6320" w:rsidRDefault="00EF6320" w:rsidP="001309BD">
      <w:r>
        <w:t>In 2015/16 Harrow recorded its 2</w:t>
      </w:r>
      <w:r w:rsidRPr="00EF6320">
        <w:rPr>
          <w:vertAlign w:val="superscript"/>
        </w:rPr>
        <w:t>nd</w:t>
      </w:r>
      <w:r>
        <w:t xml:space="preserve"> highest levels of migration in a decade signifying a significant change in population</w:t>
      </w:r>
      <w:r w:rsidR="00A60951">
        <w:t xml:space="preserve"> make up</w:t>
      </w:r>
      <w:r>
        <w:t xml:space="preserve"> since the 2011 census. The top three nationalities of these most recent arrivals are Romanian, Indian and Polish.</w:t>
      </w:r>
    </w:p>
    <w:p w14:paraId="6942222F" w14:textId="77777777" w:rsidR="00A60951" w:rsidRDefault="00A60951" w:rsidP="00A60951"/>
    <w:p w14:paraId="7BE55064" w14:textId="3BAE6AC0" w:rsidR="00C44CCB" w:rsidRPr="00A60951" w:rsidRDefault="00A60951" w:rsidP="00A60951">
      <w:r>
        <w:t>The t</w:t>
      </w:r>
      <w:r w:rsidR="00DD11A4" w:rsidRPr="00A60951">
        <w:t xml:space="preserve">op 5 most recorded community languages in Harrow are: English, Gujarati, Tamil, Romanian, </w:t>
      </w:r>
      <w:proofErr w:type="gramStart"/>
      <w:r w:rsidR="00DD11A4" w:rsidRPr="00A60951">
        <w:t>Arabic</w:t>
      </w:r>
      <w:proofErr w:type="gramEnd"/>
      <w:r>
        <w:t xml:space="preserve"> and there are o</w:t>
      </w:r>
      <w:r w:rsidR="00DD11A4" w:rsidRPr="00A60951">
        <w:t xml:space="preserve">ver 155 languages spoken in </w:t>
      </w:r>
      <w:r>
        <w:t xml:space="preserve">Harrow </w:t>
      </w:r>
      <w:r w:rsidR="00DD11A4" w:rsidRPr="00A60951">
        <w:t>schools</w:t>
      </w:r>
      <w:r>
        <w:t>.</w:t>
      </w:r>
    </w:p>
    <w:p w14:paraId="0DB14A7D" w14:textId="77777777" w:rsidR="00A60951" w:rsidRDefault="00A60951" w:rsidP="001309BD"/>
    <w:p w14:paraId="0B347BA7" w14:textId="72005001" w:rsidR="00C0312D" w:rsidRPr="0045716F" w:rsidRDefault="001309BD" w:rsidP="00C0312D">
      <w:r w:rsidRPr="00F94C12">
        <w:rPr>
          <w:bCs/>
          <w:color w:val="3E007A"/>
        </w:rPr>
        <w:t xml:space="preserve">Religion or Belief – </w:t>
      </w:r>
      <w:r w:rsidRPr="00E7497E">
        <w:rPr>
          <w:bCs/>
        </w:rPr>
        <w:t xml:space="preserve">Harrow </w:t>
      </w:r>
      <w:r w:rsidR="00EF6320">
        <w:rPr>
          <w:bCs/>
        </w:rPr>
        <w:t>is also said to be the most religiously diverse borough</w:t>
      </w:r>
      <w:r w:rsidR="00A60951">
        <w:rPr>
          <w:bCs/>
        </w:rPr>
        <w:t xml:space="preserve"> in the country.</w:t>
      </w:r>
      <w:r w:rsidRPr="00527AE2">
        <w:rPr>
          <w:bCs/>
        </w:rPr>
        <w:t xml:space="preserve"> </w:t>
      </w:r>
      <w:r w:rsidR="0048139E">
        <w:rPr>
          <w:bCs/>
        </w:rPr>
        <w:t xml:space="preserve"> </w:t>
      </w:r>
      <w:r w:rsidRPr="00527AE2">
        <w:rPr>
          <w:bCs/>
        </w:rPr>
        <w:t>The borough had the highest proportion of Hindus, Jains and members of the Unification Church, the second highest figures for Zoroastrianism and was 6</w:t>
      </w:r>
      <w:r w:rsidRPr="00527AE2">
        <w:rPr>
          <w:bCs/>
          <w:vertAlign w:val="superscript"/>
        </w:rPr>
        <w:t>th</w:t>
      </w:r>
      <w:r w:rsidRPr="00527AE2">
        <w:rPr>
          <w:bCs/>
        </w:rPr>
        <w:t xml:space="preserve"> for Judaism. 37% of the population are Christian, the 5</w:t>
      </w:r>
      <w:r w:rsidRPr="00527AE2">
        <w:rPr>
          <w:bCs/>
          <w:vertAlign w:val="superscript"/>
        </w:rPr>
        <w:t>th</w:t>
      </w:r>
      <w:r w:rsidRPr="0045716F">
        <w:rPr>
          <w:bCs/>
        </w:rPr>
        <w:t xml:space="preserve"> lowest figure in the country. Muslims accounted for 12.5% of the population</w:t>
      </w:r>
      <w:r w:rsidRPr="00F94C12">
        <w:rPr>
          <w:bCs/>
          <w:vertAlign w:val="superscript"/>
        </w:rPr>
        <w:footnoteReference w:id="8"/>
      </w:r>
      <w:r w:rsidRPr="00F94C12">
        <w:rPr>
          <w:bCs/>
        </w:rPr>
        <w:t>.</w:t>
      </w:r>
      <w:r w:rsidR="00C0312D" w:rsidRPr="00C0312D">
        <w:t xml:space="preserve"> </w:t>
      </w:r>
      <w:r w:rsidR="00C0312D" w:rsidRPr="0045716F">
        <w:t xml:space="preserve">In Greenhill and Wealdstone there are proportionately more followers of Islam and slighter lower Hindus. There is a higher proportion of Bangladeshi and </w:t>
      </w:r>
      <w:r w:rsidR="00C0312D" w:rsidRPr="0045716F">
        <w:lastRenderedPageBreak/>
        <w:t xml:space="preserve">Pakistanis in these wards. Those ethnic groups have </w:t>
      </w:r>
      <w:r w:rsidR="00C0312D" w:rsidRPr="00B53437">
        <w:t xml:space="preserve">high levels of residents aged 16-64 who are economically inactive (35.4%) compared to </w:t>
      </w:r>
      <w:r w:rsidR="00C0312D" w:rsidRPr="0045716F">
        <w:t>Indians (</w:t>
      </w:r>
      <w:r w:rsidR="00C0312D" w:rsidRPr="00B53437">
        <w:t>14.7</w:t>
      </w:r>
      <w:r w:rsidR="00C0312D" w:rsidRPr="0045716F">
        <w:t>%)</w:t>
      </w:r>
      <w:r w:rsidR="00C0312D">
        <w:rPr>
          <w:rStyle w:val="FootnoteReference"/>
        </w:rPr>
        <w:footnoteReference w:id="9"/>
      </w:r>
      <w:r w:rsidR="00C0312D" w:rsidRPr="0045716F">
        <w:t xml:space="preserve">. </w:t>
      </w:r>
    </w:p>
    <w:p w14:paraId="3CC19D78" w14:textId="77777777" w:rsidR="00A60951" w:rsidRPr="00382606" w:rsidRDefault="00A60951" w:rsidP="00A60951">
      <w:pPr>
        <w:rPr>
          <w:color w:val="3E007A"/>
        </w:rPr>
      </w:pPr>
      <w:r w:rsidRPr="00CA5382">
        <w:rPr>
          <w:color w:val="3E007A"/>
        </w:rPr>
        <w:t>Gender/Sex –</w:t>
      </w:r>
      <w:r w:rsidRPr="00382606">
        <w:rPr>
          <w:color w:val="3E007A"/>
        </w:rPr>
        <w:t xml:space="preserve"> </w:t>
      </w:r>
      <w:r w:rsidRPr="00382606">
        <w:t>49.</w:t>
      </w:r>
      <w:r>
        <w:t>9</w:t>
      </w:r>
      <w:r w:rsidRPr="00382606">
        <w:t xml:space="preserve">% of the population are male and </w:t>
      </w:r>
      <w:r>
        <w:t>51.1</w:t>
      </w:r>
      <w:r w:rsidRPr="00382606">
        <w:t>% are female</w:t>
      </w:r>
      <w:r w:rsidRPr="00382606">
        <w:rPr>
          <w:vertAlign w:val="superscript"/>
        </w:rPr>
        <w:footnoteReference w:id="10"/>
      </w:r>
      <w:r w:rsidRPr="00382606">
        <w:t xml:space="preserve">. </w:t>
      </w:r>
    </w:p>
    <w:p w14:paraId="5FA963DD" w14:textId="77777777" w:rsidR="001309BD" w:rsidRPr="00F94C12" w:rsidRDefault="001309BD" w:rsidP="001309BD">
      <w:pPr>
        <w:rPr>
          <w:bCs/>
        </w:rPr>
      </w:pPr>
    </w:p>
    <w:p w14:paraId="578A4F30" w14:textId="77777777" w:rsidR="001309BD" w:rsidRDefault="001309BD" w:rsidP="001309BD">
      <w:pPr>
        <w:rPr>
          <w:bCs/>
          <w:color w:val="3E007A"/>
        </w:rPr>
      </w:pPr>
      <w:r w:rsidRPr="001066E3">
        <w:rPr>
          <w:bCs/>
          <w:color w:val="3E007A"/>
        </w:rPr>
        <w:t>Sexual Orientation –</w:t>
      </w:r>
      <w:r w:rsidRPr="001066E3">
        <w:rPr>
          <w:bCs/>
          <w:color w:val="7030A0"/>
        </w:rPr>
        <w:t xml:space="preserve"> </w:t>
      </w:r>
      <w:r w:rsidRPr="001066E3">
        <w:rPr>
          <w:bCs/>
        </w:rPr>
        <w:t>It is estimated that 10% of the UK population are lesbian, gay and bisexual (LGB), which would equate to approximately 24,713 of our residents.</w:t>
      </w:r>
    </w:p>
    <w:p w14:paraId="700CD102" w14:textId="77777777" w:rsidR="001309BD" w:rsidRDefault="001309BD" w:rsidP="001309BD">
      <w:pPr>
        <w:rPr>
          <w:color w:val="3E007A"/>
        </w:rPr>
      </w:pPr>
    </w:p>
    <w:p w14:paraId="36BB2985" w14:textId="6E3E57F4" w:rsidR="001309BD" w:rsidRPr="00A86530" w:rsidRDefault="00373AB8" w:rsidP="001309BD">
      <w:pPr>
        <w:rPr>
          <w:color w:val="3E007A"/>
        </w:rPr>
      </w:pPr>
      <w:r>
        <w:rPr>
          <w:color w:val="3E007A"/>
        </w:rPr>
        <w:t xml:space="preserve">Marriage, Civic Partnerships and </w:t>
      </w:r>
      <w:r w:rsidR="001309BD" w:rsidRPr="00A86530">
        <w:rPr>
          <w:color w:val="3E007A"/>
        </w:rPr>
        <w:t>Same Sex Marriage</w:t>
      </w:r>
    </w:p>
    <w:p w14:paraId="4534AD75" w14:textId="30E0807C" w:rsidR="001309BD" w:rsidRDefault="00373AB8" w:rsidP="001309BD">
      <w:proofErr w:type="gramStart"/>
      <w:r>
        <w:t>54% of Harrow residents are married, the highest level in London.</w:t>
      </w:r>
      <w:proofErr w:type="gramEnd"/>
      <w:r>
        <w:t xml:space="preserve"> </w:t>
      </w:r>
      <w:r w:rsidR="001309BD" w:rsidRPr="00A86530">
        <w:t>As of 31</w:t>
      </w:r>
      <w:r w:rsidR="001309BD" w:rsidRPr="00A86530">
        <w:rPr>
          <w:vertAlign w:val="superscript"/>
        </w:rPr>
        <w:t>st</w:t>
      </w:r>
      <w:r w:rsidR="001309BD" w:rsidRPr="00A86530">
        <w:t xml:space="preserve"> December 2016, there have been 142 Civil Partnerships in Harrow, 19 of which have been converted to marriage. There have been 32 same sex marriages in Harrow since inception on 29</w:t>
      </w:r>
      <w:r w:rsidR="001309BD" w:rsidRPr="00A86530">
        <w:rPr>
          <w:vertAlign w:val="superscript"/>
        </w:rPr>
        <w:t>th</w:t>
      </w:r>
      <w:r w:rsidR="001309BD" w:rsidRPr="00A86530">
        <w:t xml:space="preserve"> March 2014.</w:t>
      </w:r>
    </w:p>
    <w:p w14:paraId="2FADED17" w14:textId="77777777" w:rsidR="00373AB8" w:rsidRDefault="00373AB8" w:rsidP="001309BD"/>
    <w:p w14:paraId="5E78FDE5" w14:textId="51E624AC" w:rsidR="00CD11BB" w:rsidRPr="00CD11BB" w:rsidRDefault="00CD11BB" w:rsidP="001309BD">
      <w:pPr>
        <w:rPr>
          <w:b/>
          <w:color w:val="FFC000"/>
        </w:rPr>
      </w:pPr>
      <w:r w:rsidRPr="00CD11BB">
        <w:rPr>
          <w:b/>
          <w:color w:val="FFC000"/>
        </w:rPr>
        <w:t>DRIVERS OF INEQUALITY</w:t>
      </w:r>
    </w:p>
    <w:p w14:paraId="62B1171A" w14:textId="77777777" w:rsidR="00CD11BB" w:rsidRDefault="00CD11BB" w:rsidP="001309BD"/>
    <w:p w14:paraId="41F8B0D8" w14:textId="0728E2C8" w:rsidR="001309BD" w:rsidRPr="00A60951" w:rsidRDefault="00F20E5D" w:rsidP="001309BD">
      <w:pPr>
        <w:autoSpaceDE w:val="0"/>
        <w:autoSpaceDN w:val="0"/>
        <w:adjustRightInd w:val="0"/>
        <w:rPr>
          <w:color w:val="3E007A"/>
          <w:szCs w:val="28"/>
        </w:rPr>
      </w:pPr>
      <w:r w:rsidRPr="00A60951">
        <w:rPr>
          <w:color w:val="3E007A"/>
          <w:szCs w:val="28"/>
        </w:rPr>
        <w:t>Employment</w:t>
      </w:r>
    </w:p>
    <w:p w14:paraId="7CA51E30" w14:textId="29627D66" w:rsidR="001309BD" w:rsidRPr="00E7497E" w:rsidRDefault="001309BD" w:rsidP="001309BD">
      <w:pPr>
        <w:autoSpaceDE w:val="0"/>
        <w:autoSpaceDN w:val="0"/>
        <w:adjustRightInd w:val="0"/>
        <w:rPr>
          <w:color w:val="000000"/>
          <w:lang w:eastAsia="en-GB"/>
        </w:rPr>
      </w:pPr>
      <w:r w:rsidRPr="00F94C12">
        <w:rPr>
          <w:color w:val="000000"/>
          <w:lang w:eastAsia="en-GB"/>
        </w:rPr>
        <w:t xml:space="preserve">Harrow has seen a reduction in unemployment and the number of long term unemployed claimants. However, a number of residents are </w:t>
      </w:r>
      <w:r>
        <w:rPr>
          <w:color w:val="000000"/>
          <w:lang w:eastAsia="en-GB"/>
        </w:rPr>
        <w:t xml:space="preserve">in </w:t>
      </w:r>
      <w:r w:rsidRPr="00F94C12">
        <w:rPr>
          <w:color w:val="000000"/>
          <w:lang w:eastAsia="en-GB"/>
        </w:rPr>
        <w:t xml:space="preserve">low paid </w:t>
      </w:r>
      <w:r>
        <w:rPr>
          <w:color w:val="000000"/>
          <w:lang w:eastAsia="en-GB"/>
        </w:rPr>
        <w:t xml:space="preserve">jobs </w:t>
      </w:r>
      <w:r w:rsidRPr="00F94C12">
        <w:rPr>
          <w:color w:val="000000"/>
          <w:lang w:eastAsia="en-GB"/>
        </w:rPr>
        <w:t xml:space="preserve">and have low functional skills. </w:t>
      </w:r>
    </w:p>
    <w:p w14:paraId="658421D4" w14:textId="77777777" w:rsidR="001309BD" w:rsidRPr="00527AE2" w:rsidRDefault="001309BD" w:rsidP="001309BD">
      <w:pPr>
        <w:autoSpaceDE w:val="0"/>
        <w:autoSpaceDN w:val="0"/>
        <w:adjustRightInd w:val="0"/>
        <w:rPr>
          <w:color w:val="000000"/>
          <w:lang w:eastAsia="en-GB"/>
        </w:rPr>
      </w:pPr>
    </w:p>
    <w:p w14:paraId="1912AEBD" w14:textId="594D2E36" w:rsidR="001309BD" w:rsidRPr="00B53437" w:rsidRDefault="001309BD" w:rsidP="001309BD">
      <w:r w:rsidRPr="0045716F">
        <w:t xml:space="preserve">The JSA claimant count in </w:t>
      </w:r>
      <w:r>
        <w:t>January 2018</w:t>
      </w:r>
      <w:r w:rsidRPr="0045716F">
        <w:t xml:space="preserve"> showed 1.</w:t>
      </w:r>
      <w:r>
        <w:t>1</w:t>
      </w:r>
      <w:r w:rsidRPr="0045716F">
        <w:t>% (1,8</w:t>
      </w:r>
      <w:r>
        <w:t>05</w:t>
      </w:r>
      <w:r w:rsidRPr="0045716F">
        <w:t xml:space="preserve"> residents) were claiming job seekers allowance</w:t>
      </w:r>
      <w:r w:rsidR="00F20E5D" w:rsidRPr="00F20E5D">
        <w:rPr>
          <w:color w:val="000000"/>
        </w:rPr>
        <w:t xml:space="preserve"> </w:t>
      </w:r>
      <w:r w:rsidR="00F20E5D" w:rsidRPr="00C0312D">
        <w:rPr>
          <w:color w:val="000000"/>
        </w:rPr>
        <w:t>below the London and national average of 1.9% and 1.8% respectively</w:t>
      </w:r>
      <w:r w:rsidR="00F20E5D" w:rsidRPr="00C0312D">
        <w:rPr>
          <w:color w:val="000000"/>
          <w:vertAlign w:val="superscript"/>
        </w:rPr>
        <w:footnoteReference w:id="11"/>
      </w:r>
      <w:r w:rsidR="00F20E5D">
        <w:rPr>
          <w:color w:val="000000"/>
        </w:rPr>
        <w:t>,</w:t>
      </w:r>
      <w:r w:rsidRPr="0045716F">
        <w:t xml:space="preserve"> 5</w:t>
      </w:r>
      <w:r>
        <w:t>5</w:t>
      </w:r>
      <w:r w:rsidRPr="0045716F">
        <w:t>% were men and 4</w:t>
      </w:r>
      <w:r>
        <w:t>6</w:t>
      </w:r>
      <w:r w:rsidRPr="0045716F">
        <w:t xml:space="preserve">% were women. The overall employment rate in Harrow is </w:t>
      </w:r>
      <w:r>
        <w:t>76.5</w:t>
      </w:r>
      <w:r w:rsidRPr="0045716F">
        <w:t>%, but rates vary by population group</w:t>
      </w:r>
      <w:r>
        <w:rPr>
          <w:rStyle w:val="FootnoteReference"/>
        </w:rPr>
        <w:footnoteReference w:id="12"/>
      </w:r>
      <w:r w:rsidRPr="0045716F">
        <w:t xml:space="preserve">. </w:t>
      </w:r>
      <w:r w:rsidRPr="004B2713">
        <w:t>The employment rate for white UK born residents is 8</w:t>
      </w:r>
      <w:r w:rsidRPr="00DE3334">
        <w:t>2</w:t>
      </w:r>
      <w:r w:rsidRPr="004B2713">
        <w:t xml:space="preserve">.9%, compared to </w:t>
      </w:r>
      <w:r w:rsidRPr="00DE3334">
        <w:t>88.5</w:t>
      </w:r>
      <w:r w:rsidRPr="004B2713">
        <w:t>% for white non-UK born residents. For UK born ethnic minority group</w:t>
      </w:r>
      <w:r w:rsidRPr="00DE3334">
        <w:t>s</w:t>
      </w:r>
      <w:r w:rsidRPr="004B2713">
        <w:t xml:space="preserve"> the employment rate is </w:t>
      </w:r>
      <w:r w:rsidRPr="00DE3334">
        <w:t>68.4</w:t>
      </w:r>
      <w:r w:rsidRPr="004B2713">
        <w:t xml:space="preserve">% and </w:t>
      </w:r>
      <w:r w:rsidRPr="00DE3334">
        <w:t>69.4</w:t>
      </w:r>
      <w:r w:rsidRPr="004B2713">
        <w:t>% for non-UK born ethnic minority groups</w:t>
      </w:r>
      <w:r w:rsidRPr="004B2713">
        <w:rPr>
          <w:rStyle w:val="FootnoteReference"/>
        </w:rPr>
        <w:footnoteReference w:id="13"/>
      </w:r>
      <w:r w:rsidRPr="004B2713">
        <w:t>.</w:t>
      </w:r>
      <w:r w:rsidRPr="00B53437" w:rsidDel="00527AE2">
        <w:t xml:space="preserve"> </w:t>
      </w:r>
    </w:p>
    <w:p w14:paraId="7B53968B" w14:textId="77777777" w:rsidR="00F20E5D" w:rsidRDefault="00F20E5D" w:rsidP="00C0312D">
      <w:pPr>
        <w:rPr>
          <w:color w:val="000000"/>
        </w:rPr>
      </w:pPr>
    </w:p>
    <w:p w14:paraId="5F36D745" w14:textId="77777777" w:rsidR="001309BD" w:rsidRDefault="001309BD" w:rsidP="001309BD">
      <w:pPr>
        <w:rPr>
          <w:color w:val="000000"/>
        </w:rPr>
      </w:pPr>
      <w:r w:rsidRPr="0045716F">
        <w:t xml:space="preserve">The employment deprivation domain within the 2015 Index of Multiple Deprivation (IMD) indicates 12,083 of Harrow's residents experiencing employment deprivation. </w:t>
      </w:r>
      <w:r w:rsidRPr="00227A73">
        <w:rPr>
          <w:iCs/>
        </w:rPr>
        <w:t>This includes people who would like to work but are unable to do so due to unemployment, sickness or disability, or caring responsibilities</w:t>
      </w:r>
      <w:r w:rsidRPr="007C0C9C">
        <w:t xml:space="preserve">. </w:t>
      </w:r>
      <w:r w:rsidRPr="00DB7C93">
        <w:t xml:space="preserve">Overall Wealdstone is Harrow's most deprived ward for employment deprivation, closely followed by Roxbourne. </w:t>
      </w:r>
      <w:r w:rsidRPr="00797A5E">
        <w:rPr>
          <w:color w:val="000000"/>
        </w:rPr>
        <w:t xml:space="preserve">Unemployment figures are highest in Greenhill, Wealdstone and Roxbourne wards. </w:t>
      </w:r>
    </w:p>
    <w:p w14:paraId="549B1DAE" w14:textId="77777777" w:rsidR="00C0312D" w:rsidRPr="00DB0984" w:rsidRDefault="00C0312D" w:rsidP="001309BD"/>
    <w:p w14:paraId="65C6A7C2" w14:textId="77777777" w:rsidR="001309BD" w:rsidRPr="00797A5E" w:rsidRDefault="001309BD" w:rsidP="001309BD">
      <w:pPr>
        <w:rPr>
          <w:b/>
        </w:rPr>
      </w:pPr>
      <w:r w:rsidRPr="00041694">
        <w:rPr>
          <w:color w:val="3E007A"/>
        </w:rPr>
        <w:t>Income deprivation -</w:t>
      </w:r>
      <w:r w:rsidRPr="00400C8B">
        <w:rPr>
          <w:b/>
        </w:rPr>
        <w:t xml:space="preserve"> </w:t>
      </w:r>
      <w:r w:rsidRPr="00400C8B">
        <w:rPr>
          <w:color w:val="000000"/>
          <w:lang w:eastAsia="en-GB"/>
        </w:rPr>
        <w:t>The Income Deprivation scale indicates that 30,733 of Harrow's residents are experiencing income deprivat</w:t>
      </w:r>
      <w:r w:rsidRPr="007329A0">
        <w:rPr>
          <w:color w:val="000000"/>
          <w:lang w:eastAsia="en-GB"/>
        </w:rPr>
        <w:t xml:space="preserve">ion. </w:t>
      </w:r>
      <w:r w:rsidRPr="007329A0">
        <w:rPr>
          <w:b/>
        </w:rPr>
        <w:t xml:space="preserve"> </w:t>
      </w:r>
      <w:r w:rsidRPr="007329A0">
        <w:t>Wealdstone is Harrow's most deprived war</w:t>
      </w:r>
      <w:r w:rsidRPr="0099751A">
        <w:t>d for income deprivation and for income deprivation affecting children, closely followed by Roxbourne, then Marlborough and Harrow Weald.</w:t>
      </w:r>
      <w:r w:rsidRPr="00E95DCB">
        <w:t xml:space="preserve"> </w:t>
      </w:r>
    </w:p>
    <w:p w14:paraId="111E9B84" w14:textId="77777777" w:rsidR="001309BD" w:rsidRPr="00B53437" w:rsidRDefault="001309BD" w:rsidP="001309BD">
      <w:pPr>
        <w:rPr>
          <w:highlight w:val="yellow"/>
        </w:rPr>
      </w:pPr>
    </w:p>
    <w:p w14:paraId="34B6865D" w14:textId="77777777" w:rsidR="00A60951" w:rsidRDefault="00A60951" w:rsidP="00A60951">
      <w:r w:rsidRPr="00A86530">
        <w:t xml:space="preserve">Over a fifth of Harrow’s residents are in low paid jobs. </w:t>
      </w:r>
      <w:r w:rsidRPr="00A60951">
        <w:t xml:space="preserve">Wages paid in Harrow workplaces (average £575.00/week for full-time workers) are generally lower than in London (£692.20) and in most of the West London Boroughs (£575-£689). </w:t>
      </w:r>
      <w:r w:rsidRPr="00A86530">
        <w:t>In part this relates to the business composition of the borough, with small businesses paying less than larger companies and in part due to a significant number of residents having low skills.</w:t>
      </w:r>
      <w:r>
        <w:t xml:space="preserve"> The e</w:t>
      </w:r>
      <w:r w:rsidRPr="00A60951">
        <w:t>arnings of Harrow residents (estimated average of £714.80/week for full-time workers) are the second highest of the West London Boroughs and a little over the London average (£701.40).</w:t>
      </w:r>
      <w:r w:rsidRPr="00A60951">
        <w:rPr>
          <w:vertAlign w:val="superscript"/>
        </w:rPr>
        <w:footnoteReference w:id="14"/>
      </w:r>
      <w:r w:rsidRPr="00A60951">
        <w:t xml:space="preserve"> </w:t>
      </w:r>
    </w:p>
    <w:p w14:paraId="0816334A" w14:textId="77777777" w:rsidR="00A60951" w:rsidRDefault="00A60951" w:rsidP="00A60951"/>
    <w:p w14:paraId="15FA1C93" w14:textId="594D5DD9" w:rsidR="00A60951" w:rsidRPr="00A60951" w:rsidRDefault="00A60951" w:rsidP="00A60951">
      <w:r w:rsidRPr="00A60951">
        <w:t>At 2.1%, the borough has the lowest level of 16-17 year old NEETs (not in education, employment or training) nationally</w:t>
      </w:r>
      <w:r w:rsidRPr="00A60951">
        <w:rPr>
          <w:vertAlign w:val="superscript"/>
        </w:rPr>
        <w:footnoteReference w:id="15"/>
      </w:r>
      <w:r w:rsidRPr="00A60951">
        <w:t>.</w:t>
      </w:r>
    </w:p>
    <w:p w14:paraId="2D3C815F" w14:textId="77777777" w:rsidR="00A60951" w:rsidRDefault="00A60951" w:rsidP="001309BD"/>
    <w:p w14:paraId="2E7D3599" w14:textId="37B1FD62" w:rsidR="00A60951" w:rsidRDefault="001309BD" w:rsidP="001309BD">
      <w:pPr>
        <w:rPr>
          <w:color w:val="000000"/>
        </w:rPr>
      </w:pPr>
      <w:r w:rsidRPr="001D079D">
        <w:rPr>
          <w:color w:val="3E007A"/>
        </w:rPr>
        <w:t>Skills -</w:t>
      </w:r>
      <w:r w:rsidRPr="007C0C9C">
        <w:rPr>
          <w:b/>
        </w:rPr>
        <w:t xml:space="preserve"> </w:t>
      </w:r>
      <w:r w:rsidR="00A60951" w:rsidRPr="00C0312D">
        <w:rPr>
          <w:color w:val="000000"/>
        </w:rPr>
        <w:t>45% of Harrow’s residents (aged 16-64) have higher level qualifications (NVQ Level 4+), with 2.8% having no qualifications at all. The borough has a high percentage of residents with ‘Other’ qualifications (including foreign qualifications), at 11.5%, compared to London (8.2%) and England overall (6.7%)</w:t>
      </w:r>
      <w:r w:rsidR="00A60951" w:rsidRPr="00C0312D">
        <w:rPr>
          <w:color w:val="000000"/>
          <w:vertAlign w:val="superscript"/>
        </w:rPr>
        <w:footnoteReference w:id="16"/>
      </w:r>
      <w:r w:rsidR="00A60951" w:rsidRPr="00C0312D">
        <w:rPr>
          <w:color w:val="000000"/>
        </w:rPr>
        <w:t xml:space="preserve">. </w:t>
      </w:r>
      <w:r w:rsidRPr="00DB7C93">
        <w:rPr>
          <w:color w:val="000000"/>
        </w:rPr>
        <w:t xml:space="preserve">Within Harrow, the highest proportions of the population without qualifications or with low level qualifications are in Kenton East, Edgware, Roxbourne and Roxeth. </w:t>
      </w:r>
    </w:p>
    <w:p w14:paraId="3FF6A159" w14:textId="77777777" w:rsidR="00A60951" w:rsidRDefault="00A60951" w:rsidP="001309BD">
      <w:pPr>
        <w:rPr>
          <w:color w:val="000000"/>
        </w:rPr>
      </w:pPr>
    </w:p>
    <w:p w14:paraId="46F38793" w14:textId="147DFA43" w:rsidR="001309BD" w:rsidRDefault="001309BD" w:rsidP="001309BD">
      <w:pPr>
        <w:rPr>
          <w:color w:val="000000"/>
        </w:rPr>
      </w:pPr>
      <w:r w:rsidRPr="00DB7C93">
        <w:rPr>
          <w:color w:val="000000"/>
        </w:rPr>
        <w:t>Poor language skills are a major barrier t</w:t>
      </w:r>
      <w:r w:rsidR="00A86530">
        <w:rPr>
          <w:color w:val="000000"/>
        </w:rPr>
        <w:t xml:space="preserve">o progressing in the workplace. </w:t>
      </w:r>
      <w:r w:rsidRPr="00A86530">
        <w:rPr>
          <w:color w:val="000000"/>
        </w:rPr>
        <w:t>Harrow was one of 25 local authority areas identified by the Department for Communities and Local Government as an area with high levels of need for English Language provision</w:t>
      </w:r>
      <w:r w:rsidRPr="00A60951">
        <w:rPr>
          <w:color w:val="000000"/>
        </w:rPr>
        <w:t xml:space="preserve">. </w:t>
      </w:r>
      <w:r w:rsidRPr="007329A0">
        <w:rPr>
          <w:color w:val="000000"/>
        </w:rPr>
        <w:t>28.5 % of Harrow’s residents have a foreign first language</w:t>
      </w:r>
      <w:r w:rsidRPr="0099751A">
        <w:rPr>
          <w:color w:val="000000"/>
        </w:rPr>
        <w:t xml:space="preserve">. In 15.9 % of households English is not the main language of any household </w:t>
      </w:r>
      <w:r w:rsidRPr="00045374">
        <w:rPr>
          <w:color w:val="000000"/>
        </w:rPr>
        <w:t xml:space="preserve">occupants, </w:t>
      </w:r>
      <w:r w:rsidRPr="00045374">
        <w:rPr>
          <w:color w:val="000000"/>
        </w:rPr>
        <w:lastRenderedPageBreak/>
        <w:t>the 10th highest ranking nationally and much higher than the national level of 4.3 %. The 2011 census showed 1% of Harrow residents unable to speak English at all, compared to 0.6% for London and a national figure of 0.3%.</w:t>
      </w:r>
      <w:r w:rsidRPr="00DB0984">
        <w:rPr>
          <w:color w:val="000000"/>
        </w:rPr>
        <w:t xml:space="preserve"> </w:t>
      </w:r>
    </w:p>
    <w:p w14:paraId="18F969BA" w14:textId="77777777" w:rsidR="0048139E" w:rsidRDefault="0048139E" w:rsidP="001309BD">
      <w:pPr>
        <w:rPr>
          <w:color w:val="3E007A"/>
          <w:szCs w:val="28"/>
        </w:rPr>
      </w:pPr>
    </w:p>
    <w:p w14:paraId="1769D4FE" w14:textId="77777777" w:rsidR="0048139E" w:rsidRDefault="001309BD" w:rsidP="001309BD">
      <w:pPr>
        <w:rPr>
          <w:color w:val="3E007A"/>
          <w:szCs w:val="28"/>
        </w:rPr>
      </w:pPr>
      <w:r w:rsidRPr="00A60951">
        <w:rPr>
          <w:color w:val="3E007A"/>
          <w:szCs w:val="28"/>
        </w:rPr>
        <w:t>Benefits</w:t>
      </w:r>
    </w:p>
    <w:p w14:paraId="39EF5452" w14:textId="521CE220" w:rsidR="001309BD" w:rsidRPr="0048139E" w:rsidRDefault="001309BD" w:rsidP="001309BD">
      <w:pPr>
        <w:rPr>
          <w:color w:val="3E007A"/>
          <w:szCs w:val="28"/>
        </w:rPr>
      </w:pPr>
      <w:r w:rsidRPr="00B53437">
        <w:t xml:space="preserve">The Housing Benefit and Council Tax Support caseloads have been continually reducing in Harrow since 2014.  The rate of reduction in 2016/17 has slowed with 16,242 and 12,862 households in receipt of Housing Benefit and/or Council Tax Support respectively as at January 2017.  However, as the caseload has reduced, the makeup has changed with the number of in-work claims continuing to rise.  </w:t>
      </w:r>
    </w:p>
    <w:p w14:paraId="2D82A29C" w14:textId="77777777" w:rsidR="001309BD" w:rsidRDefault="001309BD" w:rsidP="001309BD">
      <w:r w:rsidRPr="00B53437">
        <w:t>Harrow has the second highest proportion of in-work Housing Benefit households in the country, reflecting the number of lower-paid jobs available in the borough.  Furthermore Harrow has the ninth highest proportion of Housing Benefit claimants in private sector properties due to the limited social housing available.  With the widening gap between average market rents and Housing Benefit, this puts increasing pressure on Harrow households to be able to remain in the borough, even if they are in employment.</w:t>
      </w:r>
    </w:p>
    <w:p w14:paraId="07A505D4" w14:textId="77777777" w:rsidR="00A86530" w:rsidRPr="00B53437" w:rsidRDefault="00A86530" w:rsidP="001309BD"/>
    <w:p w14:paraId="5015DE53" w14:textId="77777777" w:rsidR="001309BD" w:rsidRPr="00CC0FCD" w:rsidRDefault="001309BD" w:rsidP="001309BD">
      <w:pPr>
        <w:keepNext/>
        <w:jc w:val="both"/>
        <w:outlineLvl w:val="1"/>
        <w:rPr>
          <w:bCs/>
          <w:color w:val="3E007A"/>
          <w:szCs w:val="28"/>
        </w:rPr>
      </w:pPr>
      <w:r w:rsidRPr="00CC0FCD">
        <w:rPr>
          <w:color w:val="3E007A"/>
          <w:szCs w:val="28"/>
        </w:rPr>
        <w:t>Health</w:t>
      </w:r>
      <w:r w:rsidRPr="00CC0FCD">
        <w:rPr>
          <w:bCs/>
          <w:color w:val="3E007A"/>
          <w:szCs w:val="28"/>
        </w:rPr>
        <w:t xml:space="preserve"> Inequality</w:t>
      </w:r>
    </w:p>
    <w:p w14:paraId="649F5C69" w14:textId="6F495312" w:rsidR="00CC0FCD" w:rsidRDefault="00C0312D" w:rsidP="001309BD">
      <w:r w:rsidRPr="00F94C12">
        <w:rPr>
          <w:color w:val="000000"/>
          <w:lang w:eastAsia="en-GB"/>
        </w:rPr>
        <w:t>Harrow’s ranking for health deprivation has</w:t>
      </w:r>
      <w:r w:rsidRPr="00E7497E">
        <w:rPr>
          <w:color w:val="000000"/>
          <w:lang w:eastAsia="en-GB"/>
        </w:rPr>
        <w:t xml:space="preserve"> improved and is better than the national average, but there are health disparities within the borough. </w:t>
      </w:r>
      <w:r w:rsidR="001309BD" w:rsidRPr="00651538">
        <w:t xml:space="preserve">Overall statistics for health in the borough are generally good, </w:t>
      </w:r>
    </w:p>
    <w:p w14:paraId="00FCD85C" w14:textId="77777777" w:rsidR="00CC0FCD" w:rsidRDefault="00CC0FCD" w:rsidP="001309BD"/>
    <w:p w14:paraId="7959CE13" w14:textId="77777777" w:rsidR="00CC0FCD" w:rsidRDefault="00CC0FCD" w:rsidP="001309BD">
      <w:r>
        <w:t>I</w:t>
      </w:r>
      <w:r w:rsidRPr="00CC0FCD">
        <w:t>n 2011 the census showed that 14.6% of residents in Harrow had a limiting long-term illness or disability. This was an increase of 13.2% (+4,000) since 2001. Harrow’s rate is now higher than the average for London (14.2%)</w:t>
      </w:r>
      <w:r w:rsidRPr="00CC0FCD">
        <w:rPr>
          <w:vertAlign w:val="superscript"/>
        </w:rPr>
        <w:footnoteReference w:id="17"/>
      </w:r>
      <w:r w:rsidRPr="00CC0FCD">
        <w:t xml:space="preserve">.  </w:t>
      </w:r>
    </w:p>
    <w:p w14:paraId="0E2ECCC0" w14:textId="77777777" w:rsidR="00CC0FCD" w:rsidRDefault="00CC0FCD" w:rsidP="001309BD"/>
    <w:p w14:paraId="07D7DCD2" w14:textId="6430F1EE" w:rsidR="00CC0FCD" w:rsidRDefault="00CC0FCD" w:rsidP="001309BD">
      <w:r w:rsidRPr="00CC0FCD">
        <w:t>In 2016-17, 18.4%% of all 4-5 year olds are classified as having excess weight with 8.3% of them being considered obese. Obesity rates in the reception year for children are falling</w:t>
      </w:r>
      <w:r w:rsidR="00D27123">
        <w:t xml:space="preserve"> overall</w:t>
      </w:r>
      <w:r w:rsidRPr="00CC0FCD">
        <w:t>.  The rates for reception year children are lower than both the London and National averages.  36.5% of 10-11 year olds are classified as having excess weight with 20.6% being classified as obese. The rates are lower than the London rates but higher than the National rate</w:t>
      </w:r>
      <w:r>
        <w:t>.</w:t>
      </w:r>
    </w:p>
    <w:p w14:paraId="3588C15F" w14:textId="77777777" w:rsidR="00CC0FCD" w:rsidRDefault="00CC0FCD" w:rsidP="001309BD">
      <w:pPr>
        <w:rPr>
          <w:color w:val="000000"/>
        </w:rPr>
      </w:pPr>
    </w:p>
    <w:p w14:paraId="71FEECB1" w14:textId="312D1204" w:rsidR="001309BD" w:rsidRDefault="001309BD" w:rsidP="001309BD">
      <w:pPr>
        <w:rPr>
          <w:color w:val="000000"/>
        </w:rPr>
      </w:pPr>
      <w:r w:rsidRPr="00651538">
        <w:rPr>
          <w:color w:val="000000"/>
        </w:rPr>
        <w:t>Mental health problems af</w:t>
      </w:r>
      <w:r w:rsidR="00D27123">
        <w:rPr>
          <w:color w:val="000000"/>
        </w:rPr>
        <w:t>fect 1 in 6</w:t>
      </w:r>
      <w:r w:rsidRPr="00651538">
        <w:rPr>
          <w:color w:val="000000"/>
        </w:rPr>
        <w:t xml:space="preserve"> adults and national data has estimated 22</w:t>
      </w:r>
      <w:r w:rsidR="00D27123">
        <w:rPr>
          <w:color w:val="000000"/>
        </w:rPr>
        <w:t>,</w:t>
      </w:r>
      <w:r w:rsidRPr="00651538">
        <w:rPr>
          <w:color w:val="000000"/>
        </w:rPr>
        <w:t xml:space="preserve">700 people in Harrow </w:t>
      </w:r>
      <w:r w:rsidR="00CC0FCD">
        <w:rPr>
          <w:color w:val="000000"/>
        </w:rPr>
        <w:t>have a common mental health problem</w:t>
      </w:r>
      <w:r w:rsidRPr="00651538">
        <w:rPr>
          <w:color w:val="000000"/>
        </w:rPr>
        <w:t xml:space="preserve">. Rates are higher in some BAME communities, particularly new arrival refugees (Afghan, Somali, Iranian, </w:t>
      </w:r>
      <w:proofErr w:type="gramStart"/>
      <w:r w:rsidRPr="00651538">
        <w:rPr>
          <w:color w:val="000000"/>
        </w:rPr>
        <w:t>Tamil</w:t>
      </w:r>
      <w:proofErr w:type="gramEnd"/>
      <w:r w:rsidRPr="00651538">
        <w:rPr>
          <w:color w:val="000000"/>
        </w:rPr>
        <w:t xml:space="preserve">). </w:t>
      </w:r>
    </w:p>
    <w:p w14:paraId="199B8F13" w14:textId="1DEECABD" w:rsidR="00C235C4" w:rsidRDefault="00C235C4" w:rsidP="00C235C4">
      <w:pPr>
        <w:keepNext/>
        <w:keepLines/>
        <w:spacing w:before="200"/>
        <w:outlineLvl w:val="1"/>
        <w:rPr>
          <w:color w:val="000000"/>
        </w:rPr>
      </w:pPr>
      <w:r>
        <w:rPr>
          <w:bCs/>
          <w:color w:val="3E007A"/>
          <w:lang w:eastAsia="en-GB"/>
        </w:rPr>
        <w:lastRenderedPageBreak/>
        <w:t>A</w:t>
      </w:r>
      <w:r w:rsidRPr="00651538">
        <w:t>cross the borough there are marked geographical i</w:t>
      </w:r>
      <w:r>
        <w:t>nequalities in life expectancy. T</w:t>
      </w:r>
      <w:r w:rsidRPr="00651538">
        <w:t xml:space="preserve">here is a 10 year difference for women between Pinner South and Wealdstone. Overall Greenhill ward is Harrow's most deprived for health and disability, closely followed by Wealdstone and Roxbourne. </w:t>
      </w:r>
      <w:r w:rsidRPr="00651538">
        <w:rPr>
          <w:color w:val="000000"/>
        </w:rPr>
        <w:t>Greenhill, Roxbourne and Wealdstone wards have the lowest life expectancy in Harrow. Life expectancy has decrease</w:t>
      </w:r>
      <w:r>
        <w:rPr>
          <w:color w:val="000000"/>
        </w:rPr>
        <w:t xml:space="preserve">d in Greenhill and West Harrow. </w:t>
      </w:r>
    </w:p>
    <w:p w14:paraId="32C8E1B8" w14:textId="77777777" w:rsidR="00C235C4" w:rsidRDefault="00C235C4" w:rsidP="00605565">
      <w:pPr>
        <w:spacing w:after="160"/>
        <w:rPr>
          <w:lang w:eastAsia="en-GB"/>
        </w:rPr>
      </w:pPr>
    </w:p>
    <w:p w14:paraId="1E954E44" w14:textId="105CE0D0" w:rsidR="00605565" w:rsidRPr="00605565" w:rsidRDefault="001309BD" w:rsidP="00605565">
      <w:pPr>
        <w:spacing w:after="160"/>
        <w:rPr>
          <w:lang w:eastAsia="en-GB"/>
        </w:rPr>
      </w:pPr>
      <w:r w:rsidRPr="00651538">
        <w:rPr>
          <w:lang w:eastAsia="en-GB"/>
        </w:rPr>
        <w:t>Slope index of inequality in life expectancy at birth within English local authorities (SII) is an indicator that measures the results of inequalities with the borough. The SII is a measure of the social gradient in life expectancy, i.e. how much life expectancy varies with deprivation. It takes account of health inequalities across the whole range of deprivation within each local authority and summa</w:t>
      </w:r>
      <w:r w:rsidR="00CD11BB">
        <w:rPr>
          <w:lang w:eastAsia="en-GB"/>
        </w:rPr>
        <w:t>rises this in a single number</w:t>
      </w:r>
      <w:r w:rsidRPr="00651538">
        <w:rPr>
          <w:lang w:eastAsia="en-GB"/>
        </w:rPr>
        <w:t>.</w:t>
      </w:r>
      <w:r w:rsidR="00605565">
        <w:rPr>
          <w:lang w:eastAsia="en-GB"/>
        </w:rPr>
        <w:t xml:space="preserve"> </w:t>
      </w:r>
      <w:r w:rsidR="00605565" w:rsidRPr="002C0339">
        <w:rPr>
          <w:rFonts w:eastAsia="Arial"/>
          <w:szCs w:val="32"/>
        </w:rPr>
        <w:t>The healthy life expectancy (HLE) gap between the least and most deprived areas of Harrow for women aged at 65 is 10.7 y</w:t>
      </w:r>
      <w:r w:rsidR="00CD11BB">
        <w:rPr>
          <w:rFonts w:eastAsia="Arial"/>
          <w:szCs w:val="32"/>
        </w:rPr>
        <w:t xml:space="preserve">ears and for men is 9.3 years. </w:t>
      </w:r>
    </w:p>
    <w:p w14:paraId="6D5D7FFD" w14:textId="5A79C185" w:rsidR="001309BD" w:rsidRPr="00651538" w:rsidRDefault="001309BD" w:rsidP="001309BD">
      <w:pPr>
        <w:spacing w:after="160"/>
        <w:rPr>
          <w:lang w:eastAsia="en-GB"/>
        </w:rPr>
      </w:pPr>
      <w:r w:rsidRPr="00651538">
        <w:rPr>
          <w:lang w:eastAsia="en-GB"/>
        </w:rPr>
        <w:t>The J</w:t>
      </w:r>
      <w:r w:rsidR="00CC0FCD">
        <w:rPr>
          <w:lang w:eastAsia="en-GB"/>
        </w:rPr>
        <w:t xml:space="preserve">oint </w:t>
      </w:r>
      <w:r w:rsidRPr="00651538">
        <w:rPr>
          <w:lang w:eastAsia="en-GB"/>
        </w:rPr>
        <w:t>S</w:t>
      </w:r>
      <w:r w:rsidR="00CC0FCD">
        <w:rPr>
          <w:lang w:eastAsia="en-GB"/>
        </w:rPr>
        <w:t xml:space="preserve">trategic </w:t>
      </w:r>
      <w:r w:rsidRPr="00651538">
        <w:rPr>
          <w:lang w:eastAsia="en-GB"/>
        </w:rPr>
        <w:t>N</w:t>
      </w:r>
      <w:r w:rsidR="00CC0FCD">
        <w:rPr>
          <w:lang w:eastAsia="en-GB"/>
        </w:rPr>
        <w:t xml:space="preserve">eeds </w:t>
      </w:r>
      <w:r w:rsidRPr="00651538">
        <w:rPr>
          <w:lang w:eastAsia="en-GB"/>
        </w:rPr>
        <w:t>A</w:t>
      </w:r>
      <w:r w:rsidR="00CC0FCD">
        <w:rPr>
          <w:lang w:eastAsia="en-GB"/>
        </w:rPr>
        <w:t>ssessment</w:t>
      </w:r>
      <w:r w:rsidRPr="00651538">
        <w:rPr>
          <w:lang w:eastAsia="en-GB"/>
        </w:rPr>
        <w:t xml:space="preserve"> says a lot about what is good in Harrow.  It is generally a healthy place and we perform better or similar to national levels for many health indicators although there are a few indicators where Harrow performs worse than the England average such as:</w:t>
      </w:r>
    </w:p>
    <w:p w14:paraId="37040C70" w14:textId="77777777" w:rsidR="001309BD" w:rsidRPr="00651538" w:rsidRDefault="001309BD" w:rsidP="001309BD">
      <w:pPr>
        <w:numPr>
          <w:ilvl w:val="0"/>
          <w:numId w:val="9"/>
        </w:numPr>
        <w:spacing w:line="276" w:lineRule="auto"/>
        <w:rPr>
          <w:lang w:eastAsia="en-GB"/>
        </w:rPr>
      </w:pPr>
      <w:r w:rsidRPr="00651538">
        <w:rPr>
          <w:lang w:eastAsia="en-GB"/>
        </w:rPr>
        <w:t>High rate of statutory homelessness</w:t>
      </w:r>
    </w:p>
    <w:p w14:paraId="315E0486" w14:textId="77777777" w:rsidR="001309BD" w:rsidRPr="00651538" w:rsidRDefault="001309BD" w:rsidP="001309BD">
      <w:pPr>
        <w:numPr>
          <w:ilvl w:val="0"/>
          <w:numId w:val="9"/>
        </w:numPr>
        <w:spacing w:line="276" w:lineRule="auto"/>
        <w:rPr>
          <w:lang w:eastAsia="en-GB"/>
        </w:rPr>
      </w:pPr>
      <w:r w:rsidRPr="00651538">
        <w:rPr>
          <w:lang w:eastAsia="en-GB"/>
        </w:rPr>
        <w:t>High rate of fuel poverty</w:t>
      </w:r>
    </w:p>
    <w:p w14:paraId="7EE0485D" w14:textId="77777777" w:rsidR="001309BD" w:rsidRPr="00651538" w:rsidRDefault="001309BD" w:rsidP="001309BD">
      <w:pPr>
        <w:numPr>
          <w:ilvl w:val="0"/>
          <w:numId w:val="9"/>
        </w:numPr>
        <w:spacing w:line="276" w:lineRule="auto"/>
        <w:rPr>
          <w:lang w:eastAsia="en-GB"/>
        </w:rPr>
      </w:pPr>
      <w:r w:rsidRPr="00651538">
        <w:rPr>
          <w:lang w:eastAsia="en-GB"/>
        </w:rPr>
        <w:t>High percentage of adult social care users who do not have as much social contact as they would like</w:t>
      </w:r>
    </w:p>
    <w:p w14:paraId="7D45271F" w14:textId="77777777" w:rsidR="001309BD" w:rsidRPr="00651538" w:rsidRDefault="001309BD" w:rsidP="001309BD">
      <w:pPr>
        <w:numPr>
          <w:ilvl w:val="0"/>
          <w:numId w:val="9"/>
        </w:numPr>
        <w:spacing w:line="276" w:lineRule="auto"/>
        <w:rPr>
          <w:lang w:eastAsia="en-GB"/>
        </w:rPr>
      </w:pPr>
      <w:r w:rsidRPr="00651538">
        <w:rPr>
          <w:lang w:eastAsia="en-GB"/>
        </w:rPr>
        <w:t>High rates of low birth weight babies</w:t>
      </w:r>
    </w:p>
    <w:p w14:paraId="60FABC88" w14:textId="77777777" w:rsidR="001309BD" w:rsidRPr="00651538" w:rsidRDefault="001309BD" w:rsidP="001309BD">
      <w:pPr>
        <w:numPr>
          <w:ilvl w:val="0"/>
          <w:numId w:val="9"/>
        </w:numPr>
        <w:spacing w:line="276" w:lineRule="auto"/>
        <w:rPr>
          <w:lang w:eastAsia="en-GB"/>
        </w:rPr>
      </w:pPr>
      <w:r w:rsidRPr="00651538">
        <w:rPr>
          <w:lang w:eastAsia="en-GB"/>
        </w:rPr>
        <w:t>High rates of excess weight in 10-11 year olds</w:t>
      </w:r>
    </w:p>
    <w:p w14:paraId="0E1F9962" w14:textId="77777777" w:rsidR="001309BD" w:rsidRPr="00651538" w:rsidRDefault="001309BD" w:rsidP="001309BD">
      <w:pPr>
        <w:numPr>
          <w:ilvl w:val="0"/>
          <w:numId w:val="9"/>
        </w:numPr>
        <w:spacing w:line="276" w:lineRule="auto"/>
        <w:rPr>
          <w:lang w:eastAsia="en-GB"/>
        </w:rPr>
      </w:pPr>
      <w:r w:rsidRPr="00651538">
        <w:rPr>
          <w:lang w:eastAsia="en-GB"/>
        </w:rPr>
        <w:t>Low amount of fruit and vegetables eaten</w:t>
      </w:r>
    </w:p>
    <w:p w14:paraId="6D4BEE42" w14:textId="77777777" w:rsidR="001309BD" w:rsidRPr="00651538" w:rsidRDefault="001309BD" w:rsidP="001309BD">
      <w:pPr>
        <w:numPr>
          <w:ilvl w:val="0"/>
          <w:numId w:val="9"/>
        </w:numPr>
        <w:spacing w:line="276" w:lineRule="auto"/>
        <w:rPr>
          <w:lang w:eastAsia="en-GB"/>
        </w:rPr>
      </w:pPr>
      <w:r w:rsidRPr="00651538">
        <w:rPr>
          <w:lang w:eastAsia="en-GB"/>
        </w:rPr>
        <w:t>Low amount of exercise taken</w:t>
      </w:r>
    </w:p>
    <w:p w14:paraId="150059E2" w14:textId="77777777" w:rsidR="001309BD" w:rsidRPr="00651538" w:rsidRDefault="001309BD" w:rsidP="001309BD">
      <w:pPr>
        <w:numPr>
          <w:ilvl w:val="0"/>
          <w:numId w:val="9"/>
        </w:numPr>
        <w:spacing w:line="276" w:lineRule="auto"/>
        <w:rPr>
          <w:lang w:eastAsia="en-GB"/>
        </w:rPr>
      </w:pPr>
      <w:r w:rsidRPr="00651538">
        <w:rPr>
          <w:lang w:eastAsia="en-GB"/>
        </w:rPr>
        <w:t>People entering prison with substance misuse problems who are not already known to community services</w:t>
      </w:r>
    </w:p>
    <w:p w14:paraId="4984E8FA" w14:textId="77777777" w:rsidR="001309BD" w:rsidRPr="00651538" w:rsidRDefault="001309BD" w:rsidP="001309BD">
      <w:pPr>
        <w:numPr>
          <w:ilvl w:val="0"/>
          <w:numId w:val="9"/>
        </w:numPr>
        <w:spacing w:line="276" w:lineRule="auto"/>
        <w:rPr>
          <w:lang w:eastAsia="en-GB"/>
        </w:rPr>
      </w:pPr>
      <w:r w:rsidRPr="00651538">
        <w:rPr>
          <w:lang w:eastAsia="en-GB"/>
        </w:rPr>
        <w:t>Low rates of cervical cancer screening</w:t>
      </w:r>
    </w:p>
    <w:p w14:paraId="0AEA894D" w14:textId="77777777" w:rsidR="001309BD" w:rsidRPr="00651538" w:rsidRDefault="001309BD" w:rsidP="001309BD">
      <w:pPr>
        <w:numPr>
          <w:ilvl w:val="0"/>
          <w:numId w:val="9"/>
        </w:numPr>
        <w:spacing w:line="276" w:lineRule="auto"/>
        <w:rPr>
          <w:lang w:eastAsia="en-GB"/>
        </w:rPr>
      </w:pPr>
      <w:r w:rsidRPr="00651538">
        <w:rPr>
          <w:lang w:eastAsia="en-GB"/>
        </w:rPr>
        <w:t>Low rates of health checks</w:t>
      </w:r>
    </w:p>
    <w:p w14:paraId="62A21794" w14:textId="77777777" w:rsidR="001309BD" w:rsidRPr="00651538" w:rsidRDefault="001309BD" w:rsidP="001309BD">
      <w:pPr>
        <w:numPr>
          <w:ilvl w:val="0"/>
          <w:numId w:val="9"/>
        </w:numPr>
        <w:spacing w:line="276" w:lineRule="auto"/>
        <w:rPr>
          <w:lang w:eastAsia="en-GB"/>
        </w:rPr>
      </w:pPr>
      <w:r w:rsidRPr="00651538">
        <w:rPr>
          <w:lang w:eastAsia="en-GB"/>
        </w:rPr>
        <w:t>Low rates for HPV, PPV and flu vaccination</w:t>
      </w:r>
    </w:p>
    <w:p w14:paraId="7F6F62FA" w14:textId="77777777" w:rsidR="001309BD" w:rsidRPr="00651538" w:rsidRDefault="001309BD" w:rsidP="001309BD">
      <w:pPr>
        <w:numPr>
          <w:ilvl w:val="0"/>
          <w:numId w:val="9"/>
        </w:numPr>
        <w:spacing w:line="276" w:lineRule="auto"/>
        <w:rPr>
          <w:lang w:eastAsia="en-GB"/>
        </w:rPr>
      </w:pPr>
      <w:r w:rsidRPr="00651538">
        <w:rPr>
          <w:lang w:eastAsia="en-GB"/>
        </w:rPr>
        <w:t>High rates of late diagnosis of HIV</w:t>
      </w:r>
    </w:p>
    <w:p w14:paraId="6F350555" w14:textId="77777777" w:rsidR="001309BD" w:rsidRPr="00651538" w:rsidRDefault="001309BD" w:rsidP="001309BD">
      <w:pPr>
        <w:numPr>
          <w:ilvl w:val="0"/>
          <w:numId w:val="9"/>
        </w:numPr>
        <w:spacing w:line="276" w:lineRule="auto"/>
        <w:rPr>
          <w:lang w:eastAsia="en-GB"/>
        </w:rPr>
      </w:pPr>
      <w:r w:rsidRPr="00651538">
        <w:rPr>
          <w:lang w:eastAsia="en-GB"/>
        </w:rPr>
        <w:t>High rates of TB</w:t>
      </w:r>
    </w:p>
    <w:p w14:paraId="601A791A" w14:textId="77777777" w:rsidR="001309BD" w:rsidRPr="00651538" w:rsidRDefault="001309BD" w:rsidP="001309BD">
      <w:pPr>
        <w:numPr>
          <w:ilvl w:val="0"/>
          <w:numId w:val="9"/>
        </w:numPr>
        <w:spacing w:line="276" w:lineRule="auto"/>
        <w:rPr>
          <w:lang w:eastAsia="en-GB"/>
        </w:rPr>
      </w:pPr>
      <w:r w:rsidRPr="00651538">
        <w:rPr>
          <w:lang w:eastAsia="en-GB"/>
        </w:rPr>
        <w:t>High rates of tooth decay in children</w:t>
      </w:r>
    </w:p>
    <w:p w14:paraId="72A4B196" w14:textId="77777777" w:rsidR="001309BD" w:rsidRPr="00651538" w:rsidRDefault="001309BD" w:rsidP="001309BD"/>
    <w:p w14:paraId="0D37EDED" w14:textId="1DE30BCD" w:rsidR="001309BD" w:rsidRDefault="001309BD" w:rsidP="00C235C4">
      <w:pPr>
        <w:rPr>
          <w:lang w:eastAsia="en-GB"/>
        </w:rPr>
      </w:pPr>
      <w:r w:rsidRPr="00651538">
        <w:rPr>
          <w:lang w:eastAsia="en-GB"/>
        </w:rPr>
        <w:lastRenderedPageBreak/>
        <w:t>The PHE segment tool allows us to look at the causes of death that are driving the inequalities gap.  It shows that in men the biggest contributor to the inequalities gap is circulatory disease followed by respiratory disease and cancer.  In women, the gap is being driven by cancer, circulatory disease respiratory disease and digestive system disease (including chronic liver disease)</w:t>
      </w:r>
      <w:r w:rsidRPr="00651538">
        <w:rPr>
          <w:vertAlign w:val="superscript"/>
          <w:lang w:eastAsia="en-GB"/>
        </w:rPr>
        <w:footnoteReference w:id="18"/>
      </w:r>
      <w:r w:rsidRPr="00651538">
        <w:rPr>
          <w:lang w:eastAsia="en-GB"/>
        </w:rPr>
        <w:t>.  Personal lifestyle factors appear in most of these underlying causes but the ability to make healthier choices is determined by wider factors. People can be empowered to improve their own well-being, but they need to have healthy home, work and learning environments and access to the right opportunities, in order to make lasting changes to their daily lives.</w:t>
      </w:r>
    </w:p>
    <w:p w14:paraId="3359C456" w14:textId="77777777" w:rsidR="0048139E" w:rsidRDefault="0048139E" w:rsidP="001309BD">
      <w:pPr>
        <w:keepNext/>
        <w:spacing w:after="160"/>
        <w:rPr>
          <w:b/>
          <w:bCs/>
          <w:sz w:val="20"/>
          <w:szCs w:val="20"/>
          <w:lang w:eastAsia="en-GB"/>
        </w:rPr>
      </w:pPr>
    </w:p>
    <w:p w14:paraId="35AF4D21" w14:textId="52938AC5" w:rsidR="001309BD" w:rsidRPr="00651538" w:rsidRDefault="00C235C4" w:rsidP="001309BD">
      <w:pPr>
        <w:keepNext/>
        <w:spacing w:after="160"/>
        <w:rPr>
          <w:b/>
          <w:bCs/>
          <w:sz w:val="20"/>
          <w:szCs w:val="20"/>
          <w:lang w:eastAsia="en-GB"/>
        </w:rPr>
      </w:pPr>
      <w:r>
        <w:rPr>
          <w:b/>
          <w:bCs/>
          <w:sz w:val="20"/>
          <w:szCs w:val="20"/>
          <w:lang w:eastAsia="en-GB"/>
        </w:rPr>
        <w:t>Figure 1</w:t>
      </w:r>
      <w:r w:rsidR="001309BD" w:rsidRPr="00651538">
        <w:rPr>
          <w:b/>
          <w:bCs/>
          <w:sz w:val="20"/>
          <w:szCs w:val="20"/>
          <w:lang w:eastAsia="en-GB"/>
        </w:rPr>
        <w:t xml:space="preserve"> Underlying causes</w:t>
      </w:r>
    </w:p>
    <w:tbl>
      <w:tblPr>
        <w:tblW w:w="0" w:type="auto"/>
        <w:tblBorders>
          <w:top w:val="single" w:sz="18" w:space="0" w:color="auto"/>
          <w:bottom w:val="single" w:sz="18" w:space="0" w:color="auto"/>
        </w:tblBorders>
        <w:tblLook w:val="04A0" w:firstRow="1" w:lastRow="0" w:firstColumn="1" w:lastColumn="0" w:noHBand="0" w:noVBand="1"/>
      </w:tblPr>
      <w:tblGrid>
        <w:gridCol w:w="1809"/>
        <w:gridCol w:w="2977"/>
        <w:gridCol w:w="4456"/>
      </w:tblGrid>
      <w:tr w:rsidR="00C235C4" w:rsidRPr="00651538" w14:paraId="70D988BC" w14:textId="77777777" w:rsidTr="00605565">
        <w:tc>
          <w:tcPr>
            <w:tcW w:w="1809" w:type="dxa"/>
            <w:tcBorders>
              <w:top w:val="single" w:sz="18" w:space="0" w:color="auto"/>
              <w:bottom w:val="single" w:sz="18" w:space="0" w:color="auto"/>
            </w:tcBorders>
            <w:shd w:val="clear" w:color="auto" w:fill="8064A2"/>
          </w:tcPr>
          <w:p w14:paraId="212EAF06" w14:textId="77777777" w:rsidR="001309BD" w:rsidRPr="00651538" w:rsidRDefault="001309BD" w:rsidP="00605565">
            <w:pPr>
              <w:rPr>
                <w:b/>
                <w:bCs/>
                <w:color w:val="FFFFFF"/>
                <w:sz w:val="20"/>
                <w:szCs w:val="20"/>
                <w:lang w:eastAsia="en-GB"/>
              </w:rPr>
            </w:pPr>
          </w:p>
        </w:tc>
        <w:tc>
          <w:tcPr>
            <w:tcW w:w="2977" w:type="dxa"/>
            <w:tcBorders>
              <w:top w:val="single" w:sz="18" w:space="0" w:color="auto"/>
              <w:left w:val="nil"/>
              <w:bottom w:val="single" w:sz="18" w:space="0" w:color="auto"/>
              <w:right w:val="nil"/>
            </w:tcBorders>
            <w:shd w:val="clear" w:color="auto" w:fill="8064A2"/>
          </w:tcPr>
          <w:p w14:paraId="16FD5053"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Risk factors</w:t>
            </w:r>
          </w:p>
        </w:tc>
        <w:tc>
          <w:tcPr>
            <w:tcW w:w="4456" w:type="dxa"/>
            <w:tcBorders>
              <w:top w:val="single" w:sz="18" w:space="0" w:color="auto"/>
              <w:bottom w:val="single" w:sz="18" w:space="0" w:color="auto"/>
            </w:tcBorders>
            <w:shd w:val="clear" w:color="auto" w:fill="8064A2"/>
          </w:tcPr>
          <w:p w14:paraId="0EFF3D26"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Link to inequalities</w:t>
            </w:r>
          </w:p>
        </w:tc>
      </w:tr>
      <w:tr w:rsidR="00C235C4" w:rsidRPr="00651538" w14:paraId="45D543EA" w14:textId="77777777" w:rsidTr="00605565">
        <w:tc>
          <w:tcPr>
            <w:tcW w:w="1809" w:type="dxa"/>
            <w:shd w:val="clear" w:color="auto" w:fill="8064A2"/>
          </w:tcPr>
          <w:p w14:paraId="645F7B65"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Circulatory Disease</w:t>
            </w:r>
          </w:p>
        </w:tc>
        <w:tc>
          <w:tcPr>
            <w:tcW w:w="2977" w:type="dxa"/>
            <w:shd w:val="clear" w:color="auto" w:fill="D8D8D8"/>
          </w:tcPr>
          <w:p w14:paraId="3E0DCF7F" w14:textId="77777777" w:rsidR="001309BD" w:rsidRPr="00651538" w:rsidRDefault="001309BD" w:rsidP="00605565">
            <w:pPr>
              <w:rPr>
                <w:sz w:val="20"/>
                <w:szCs w:val="20"/>
                <w:lang w:eastAsia="en-GB"/>
              </w:rPr>
            </w:pPr>
            <w:r w:rsidRPr="00651538">
              <w:rPr>
                <w:sz w:val="20"/>
                <w:szCs w:val="20"/>
                <w:lang w:eastAsia="en-GB"/>
              </w:rPr>
              <w:t>Smoking</w:t>
            </w:r>
          </w:p>
          <w:p w14:paraId="32DE1401" w14:textId="77777777" w:rsidR="001309BD" w:rsidRPr="00651538" w:rsidRDefault="001309BD" w:rsidP="00605565">
            <w:pPr>
              <w:rPr>
                <w:sz w:val="20"/>
                <w:szCs w:val="20"/>
                <w:lang w:eastAsia="en-GB"/>
              </w:rPr>
            </w:pPr>
            <w:r w:rsidRPr="00651538">
              <w:rPr>
                <w:sz w:val="20"/>
                <w:szCs w:val="20"/>
                <w:lang w:eastAsia="en-GB"/>
              </w:rPr>
              <w:t>Obesity and poor diet</w:t>
            </w:r>
          </w:p>
          <w:p w14:paraId="0CB22E2D" w14:textId="77777777" w:rsidR="001309BD" w:rsidRPr="00651538" w:rsidRDefault="001309BD" w:rsidP="00605565">
            <w:pPr>
              <w:rPr>
                <w:sz w:val="20"/>
                <w:szCs w:val="20"/>
                <w:lang w:eastAsia="en-GB"/>
              </w:rPr>
            </w:pPr>
            <w:r w:rsidRPr="00651538">
              <w:rPr>
                <w:sz w:val="20"/>
                <w:szCs w:val="20"/>
                <w:lang w:eastAsia="en-GB"/>
              </w:rPr>
              <w:t>Physical inactivity</w:t>
            </w:r>
          </w:p>
          <w:p w14:paraId="2AA23696" w14:textId="77777777" w:rsidR="001309BD" w:rsidRPr="00651538" w:rsidRDefault="001309BD" w:rsidP="00605565">
            <w:pPr>
              <w:rPr>
                <w:sz w:val="20"/>
                <w:szCs w:val="20"/>
                <w:lang w:eastAsia="en-GB"/>
              </w:rPr>
            </w:pPr>
            <w:r w:rsidRPr="00651538">
              <w:rPr>
                <w:sz w:val="20"/>
                <w:szCs w:val="20"/>
                <w:lang w:eastAsia="en-GB"/>
              </w:rPr>
              <w:t>Hypertension</w:t>
            </w:r>
          </w:p>
          <w:p w14:paraId="2C14E1D9" w14:textId="77777777" w:rsidR="001309BD" w:rsidRPr="00651538" w:rsidRDefault="001309BD" w:rsidP="00605565">
            <w:pPr>
              <w:rPr>
                <w:sz w:val="20"/>
                <w:szCs w:val="20"/>
                <w:lang w:eastAsia="en-GB"/>
              </w:rPr>
            </w:pPr>
            <w:r w:rsidRPr="00651538">
              <w:rPr>
                <w:sz w:val="20"/>
                <w:szCs w:val="20"/>
                <w:lang w:eastAsia="en-GB"/>
              </w:rPr>
              <w:t>Diabetes</w:t>
            </w:r>
          </w:p>
          <w:p w14:paraId="38291501" w14:textId="77777777" w:rsidR="001309BD" w:rsidRPr="00651538" w:rsidRDefault="001309BD" w:rsidP="00605565">
            <w:pPr>
              <w:rPr>
                <w:sz w:val="20"/>
                <w:szCs w:val="20"/>
                <w:lang w:eastAsia="en-GB"/>
              </w:rPr>
            </w:pPr>
            <w:r w:rsidRPr="00651538">
              <w:rPr>
                <w:sz w:val="20"/>
                <w:szCs w:val="20"/>
                <w:lang w:eastAsia="en-GB"/>
              </w:rPr>
              <w:t>Alcohol</w:t>
            </w:r>
          </w:p>
        </w:tc>
        <w:tc>
          <w:tcPr>
            <w:tcW w:w="4456" w:type="dxa"/>
            <w:shd w:val="clear" w:color="auto" w:fill="D8D8D8"/>
          </w:tcPr>
          <w:p w14:paraId="1B1792AB" w14:textId="77777777" w:rsidR="001309BD" w:rsidRPr="00651538" w:rsidRDefault="001309BD" w:rsidP="00605565">
            <w:pPr>
              <w:rPr>
                <w:sz w:val="20"/>
                <w:szCs w:val="20"/>
                <w:lang w:eastAsia="en-GB"/>
              </w:rPr>
            </w:pPr>
            <w:r w:rsidRPr="00651538">
              <w:rPr>
                <w:sz w:val="20"/>
                <w:szCs w:val="20"/>
                <w:lang w:eastAsia="en-GB"/>
              </w:rPr>
              <w:t>Higher rates of most risk factors in more deprived communities.</w:t>
            </w:r>
          </w:p>
          <w:p w14:paraId="726272A6" w14:textId="77777777" w:rsidR="001309BD" w:rsidRPr="00651538" w:rsidRDefault="001309BD" w:rsidP="00605565">
            <w:pPr>
              <w:rPr>
                <w:sz w:val="20"/>
                <w:szCs w:val="20"/>
                <w:lang w:eastAsia="en-GB"/>
              </w:rPr>
            </w:pPr>
            <w:r w:rsidRPr="00651538">
              <w:rPr>
                <w:sz w:val="20"/>
                <w:szCs w:val="20"/>
                <w:lang w:eastAsia="en-GB"/>
              </w:rPr>
              <w:t>Higher rates of many risk factors in BAME groups.</w:t>
            </w:r>
          </w:p>
        </w:tc>
      </w:tr>
      <w:tr w:rsidR="00C235C4" w:rsidRPr="00651538" w14:paraId="4EA848A8" w14:textId="77777777" w:rsidTr="00605565">
        <w:tc>
          <w:tcPr>
            <w:tcW w:w="1809" w:type="dxa"/>
            <w:shd w:val="clear" w:color="auto" w:fill="8064A2"/>
          </w:tcPr>
          <w:p w14:paraId="219B3A5B"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Respiratory disease</w:t>
            </w:r>
          </w:p>
        </w:tc>
        <w:tc>
          <w:tcPr>
            <w:tcW w:w="2977" w:type="dxa"/>
            <w:shd w:val="clear" w:color="auto" w:fill="auto"/>
          </w:tcPr>
          <w:p w14:paraId="5B1A806F" w14:textId="77777777" w:rsidR="001309BD" w:rsidRPr="00651538" w:rsidRDefault="001309BD" w:rsidP="00605565">
            <w:pPr>
              <w:rPr>
                <w:sz w:val="20"/>
                <w:szCs w:val="20"/>
                <w:lang w:eastAsia="en-GB"/>
              </w:rPr>
            </w:pPr>
            <w:r w:rsidRPr="00651538">
              <w:rPr>
                <w:sz w:val="20"/>
                <w:szCs w:val="20"/>
                <w:lang w:eastAsia="en-GB"/>
              </w:rPr>
              <w:t>Smoking</w:t>
            </w:r>
          </w:p>
          <w:p w14:paraId="22BE1830" w14:textId="77777777" w:rsidR="001309BD" w:rsidRPr="00651538" w:rsidRDefault="001309BD" w:rsidP="00605565">
            <w:pPr>
              <w:rPr>
                <w:sz w:val="20"/>
                <w:szCs w:val="20"/>
                <w:lang w:eastAsia="en-GB"/>
              </w:rPr>
            </w:pPr>
            <w:r w:rsidRPr="00651538">
              <w:rPr>
                <w:sz w:val="20"/>
                <w:szCs w:val="20"/>
                <w:lang w:eastAsia="en-GB"/>
              </w:rPr>
              <w:t>Influenza</w:t>
            </w:r>
          </w:p>
          <w:p w14:paraId="71B2B88F" w14:textId="77777777" w:rsidR="001309BD" w:rsidRPr="00651538" w:rsidRDefault="001309BD" w:rsidP="00605565">
            <w:pPr>
              <w:rPr>
                <w:sz w:val="20"/>
                <w:szCs w:val="20"/>
                <w:lang w:eastAsia="en-GB"/>
              </w:rPr>
            </w:pPr>
            <w:r w:rsidRPr="00651538">
              <w:rPr>
                <w:sz w:val="20"/>
                <w:szCs w:val="20"/>
                <w:lang w:eastAsia="en-GB"/>
              </w:rPr>
              <w:t>Cold weather</w:t>
            </w:r>
          </w:p>
        </w:tc>
        <w:tc>
          <w:tcPr>
            <w:tcW w:w="4456" w:type="dxa"/>
            <w:shd w:val="clear" w:color="auto" w:fill="auto"/>
          </w:tcPr>
          <w:p w14:paraId="705F3EF5" w14:textId="77777777" w:rsidR="001309BD" w:rsidRPr="00651538" w:rsidRDefault="001309BD" w:rsidP="00605565">
            <w:pPr>
              <w:rPr>
                <w:sz w:val="20"/>
                <w:szCs w:val="20"/>
                <w:lang w:eastAsia="en-GB"/>
              </w:rPr>
            </w:pPr>
            <w:r w:rsidRPr="00651538">
              <w:rPr>
                <w:sz w:val="20"/>
                <w:szCs w:val="20"/>
                <w:lang w:eastAsia="en-GB"/>
              </w:rPr>
              <w:t>Higher rates of smoking in more deprived communities.</w:t>
            </w:r>
          </w:p>
          <w:p w14:paraId="10FF2455" w14:textId="77777777" w:rsidR="001309BD" w:rsidRPr="00651538" w:rsidRDefault="001309BD" w:rsidP="00605565">
            <w:pPr>
              <w:rPr>
                <w:sz w:val="20"/>
                <w:szCs w:val="20"/>
                <w:lang w:eastAsia="en-GB"/>
              </w:rPr>
            </w:pPr>
            <w:r w:rsidRPr="00651538">
              <w:rPr>
                <w:sz w:val="20"/>
                <w:szCs w:val="20"/>
                <w:lang w:eastAsia="en-GB"/>
              </w:rPr>
              <w:t>Lower rates of flu immunisation in higher deprivation areas</w:t>
            </w:r>
          </w:p>
          <w:p w14:paraId="272196F0" w14:textId="77777777" w:rsidR="001309BD" w:rsidRPr="00651538" w:rsidRDefault="001309BD" w:rsidP="00605565">
            <w:pPr>
              <w:rPr>
                <w:sz w:val="20"/>
                <w:szCs w:val="20"/>
                <w:lang w:eastAsia="en-GB"/>
              </w:rPr>
            </w:pPr>
            <w:r w:rsidRPr="00651538">
              <w:rPr>
                <w:sz w:val="20"/>
                <w:szCs w:val="20"/>
                <w:lang w:eastAsia="en-GB"/>
              </w:rPr>
              <w:t>Poor housing/cold homes/fuel poverty</w:t>
            </w:r>
          </w:p>
        </w:tc>
      </w:tr>
      <w:tr w:rsidR="00C235C4" w:rsidRPr="00651538" w14:paraId="1A94E82E" w14:textId="77777777" w:rsidTr="00605565">
        <w:tc>
          <w:tcPr>
            <w:tcW w:w="1809" w:type="dxa"/>
            <w:shd w:val="clear" w:color="auto" w:fill="8064A2"/>
          </w:tcPr>
          <w:p w14:paraId="28F83C36"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Cancers</w:t>
            </w:r>
          </w:p>
        </w:tc>
        <w:tc>
          <w:tcPr>
            <w:tcW w:w="2977" w:type="dxa"/>
            <w:shd w:val="clear" w:color="auto" w:fill="D8D8D8"/>
          </w:tcPr>
          <w:p w14:paraId="562A9BAA" w14:textId="77777777" w:rsidR="001309BD" w:rsidRPr="00651538" w:rsidRDefault="001309BD" w:rsidP="00605565">
            <w:pPr>
              <w:rPr>
                <w:sz w:val="20"/>
                <w:szCs w:val="20"/>
                <w:lang w:eastAsia="en-GB"/>
              </w:rPr>
            </w:pPr>
            <w:r w:rsidRPr="00651538">
              <w:rPr>
                <w:sz w:val="20"/>
                <w:szCs w:val="20"/>
                <w:lang w:eastAsia="en-GB"/>
              </w:rPr>
              <w:t>Smoking</w:t>
            </w:r>
          </w:p>
          <w:p w14:paraId="3BA29D81" w14:textId="77777777" w:rsidR="001309BD" w:rsidRPr="00651538" w:rsidRDefault="001309BD" w:rsidP="00605565">
            <w:pPr>
              <w:rPr>
                <w:sz w:val="20"/>
                <w:szCs w:val="20"/>
                <w:lang w:eastAsia="en-GB"/>
              </w:rPr>
            </w:pPr>
            <w:r w:rsidRPr="00651538">
              <w:rPr>
                <w:sz w:val="20"/>
                <w:szCs w:val="20"/>
                <w:lang w:eastAsia="en-GB"/>
              </w:rPr>
              <w:t xml:space="preserve">Obesity </w:t>
            </w:r>
          </w:p>
          <w:p w14:paraId="6881220C" w14:textId="77777777" w:rsidR="001309BD" w:rsidRPr="00651538" w:rsidRDefault="001309BD" w:rsidP="00605565">
            <w:pPr>
              <w:rPr>
                <w:sz w:val="20"/>
                <w:szCs w:val="20"/>
                <w:lang w:eastAsia="en-GB"/>
              </w:rPr>
            </w:pPr>
            <w:r w:rsidRPr="00651538">
              <w:rPr>
                <w:sz w:val="20"/>
                <w:szCs w:val="20"/>
                <w:lang w:eastAsia="en-GB"/>
              </w:rPr>
              <w:t xml:space="preserve">Poor diet </w:t>
            </w:r>
          </w:p>
          <w:p w14:paraId="3D040B70" w14:textId="77777777" w:rsidR="001309BD" w:rsidRPr="00651538" w:rsidRDefault="001309BD" w:rsidP="00605565">
            <w:pPr>
              <w:rPr>
                <w:sz w:val="20"/>
                <w:szCs w:val="20"/>
                <w:lang w:eastAsia="en-GB"/>
              </w:rPr>
            </w:pPr>
            <w:r w:rsidRPr="00651538">
              <w:rPr>
                <w:sz w:val="20"/>
                <w:szCs w:val="20"/>
                <w:lang w:eastAsia="en-GB"/>
              </w:rPr>
              <w:t>Physical inactivity</w:t>
            </w:r>
          </w:p>
          <w:p w14:paraId="5F37A2CC" w14:textId="77777777" w:rsidR="001309BD" w:rsidRPr="00651538" w:rsidRDefault="001309BD" w:rsidP="00605565">
            <w:pPr>
              <w:rPr>
                <w:sz w:val="20"/>
                <w:szCs w:val="20"/>
                <w:lang w:eastAsia="en-GB"/>
              </w:rPr>
            </w:pPr>
            <w:r w:rsidRPr="00651538">
              <w:rPr>
                <w:sz w:val="20"/>
                <w:szCs w:val="20"/>
                <w:lang w:eastAsia="en-GB"/>
              </w:rPr>
              <w:t>Alcohol</w:t>
            </w:r>
          </w:p>
          <w:p w14:paraId="746D6783" w14:textId="77777777" w:rsidR="001309BD" w:rsidRPr="00651538" w:rsidRDefault="001309BD" w:rsidP="00605565">
            <w:pPr>
              <w:rPr>
                <w:sz w:val="20"/>
                <w:szCs w:val="20"/>
                <w:lang w:eastAsia="en-GB"/>
              </w:rPr>
            </w:pPr>
            <w:r w:rsidRPr="00651538">
              <w:rPr>
                <w:sz w:val="20"/>
                <w:szCs w:val="20"/>
                <w:lang w:eastAsia="en-GB"/>
              </w:rPr>
              <w:t>Genetic Factors</w:t>
            </w:r>
          </w:p>
          <w:p w14:paraId="24291303" w14:textId="77777777" w:rsidR="001309BD" w:rsidRPr="00651538" w:rsidRDefault="001309BD" w:rsidP="00605565">
            <w:pPr>
              <w:rPr>
                <w:sz w:val="20"/>
                <w:szCs w:val="20"/>
                <w:lang w:eastAsia="en-GB"/>
              </w:rPr>
            </w:pPr>
            <w:r w:rsidRPr="00651538">
              <w:rPr>
                <w:sz w:val="20"/>
                <w:szCs w:val="20"/>
                <w:lang w:eastAsia="en-GB"/>
              </w:rPr>
              <w:t>Sunburn</w:t>
            </w:r>
          </w:p>
        </w:tc>
        <w:tc>
          <w:tcPr>
            <w:tcW w:w="4456" w:type="dxa"/>
            <w:shd w:val="clear" w:color="auto" w:fill="D8D8D8"/>
          </w:tcPr>
          <w:p w14:paraId="56CB2ED5" w14:textId="77777777" w:rsidR="001309BD" w:rsidRPr="00651538" w:rsidRDefault="001309BD" w:rsidP="00605565">
            <w:pPr>
              <w:rPr>
                <w:sz w:val="20"/>
                <w:szCs w:val="20"/>
                <w:lang w:eastAsia="en-GB"/>
              </w:rPr>
            </w:pPr>
            <w:r w:rsidRPr="00651538">
              <w:rPr>
                <w:sz w:val="20"/>
                <w:szCs w:val="20"/>
                <w:lang w:eastAsia="en-GB"/>
              </w:rPr>
              <w:t>Higher rates of most risk factors in more deprived communities.</w:t>
            </w:r>
          </w:p>
          <w:p w14:paraId="4BD08BED" w14:textId="77777777" w:rsidR="001309BD" w:rsidRPr="00651538" w:rsidRDefault="001309BD" w:rsidP="00605565">
            <w:pPr>
              <w:rPr>
                <w:sz w:val="20"/>
                <w:szCs w:val="20"/>
                <w:lang w:eastAsia="en-GB"/>
              </w:rPr>
            </w:pPr>
            <w:r w:rsidRPr="00651538">
              <w:rPr>
                <w:sz w:val="20"/>
                <w:szCs w:val="20"/>
                <w:lang w:eastAsia="en-GB"/>
              </w:rPr>
              <w:t>Higher rates of some risk factors in BAME groups.</w:t>
            </w:r>
          </w:p>
        </w:tc>
      </w:tr>
      <w:tr w:rsidR="00C235C4" w:rsidRPr="00651538" w14:paraId="5EBB12B9" w14:textId="77777777" w:rsidTr="00605565">
        <w:tc>
          <w:tcPr>
            <w:tcW w:w="1809" w:type="dxa"/>
            <w:tcBorders>
              <w:bottom w:val="single" w:sz="18" w:space="0" w:color="auto"/>
            </w:tcBorders>
            <w:shd w:val="clear" w:color="auto" w:fill="8064A2"/>
          </w:tcPr>
          <w:p w14:paraId="5D9BE175" w14:textId="77777777" w:rsidR="001309BD" w:rsidRPr="00651538" w:rsidRDefault="001309BD" w:rsidP="00605565">
            <w:pPr>
              <w:rPr>
                <w:b/>
                <w:bCs/>
                <w:color w:val="FFFFFF"/>
                <w:sz w:val="20"/>
                <w:szCs w:val="20"/>
                <w:lang w:eastAsia="en-GB"/>
              </w:rPr>
            </w:pPr>
            <w:r w:rsidRPr="00651538">
              <w:rPr>
                <w:b/>
                <w:bCs/>
                <w:color w:val="FFFFFF"/>
                <w:sz w:val="20"/>
                <w:szCs w:val="20"/>
                <w:lang w:eastAsia="en-GB"/>
              </w:rPr>
              <w:t>Digestive diseases (including alcohol related)</w:t>
            </w:r>
          </w:p>
        </w:tc>
        <w:tc>
          <w:tcPr>
            <w:tcW w:w="2977" w:type="dxa"/>
            <w:shd w:val="clear" w:color="auto" w:fill="auto"/>
          </w:tcPr>
          <w:p w14:paraId="402540E9" w14:textId="77777777" w:rsidR="001309BD" w:rsidRPr="00651538" w:rsidRDefault="001309BD" w:rsidP="00605565">
            <w:pPr>
              <w:rPr>
                <w:sz w:val="20"/>
                <w:szCs w:val="20"/>
                <w:lang w:eastAsia="en-GB"/>
              </w:rPr>
            </w:pPr>
            <w:r w:rsidRPr="00651538">
              <w:rPr>
                <w:sz w:val="20"/>
                <w:szCs w:val="20"/>
                <w:lang w:eastAsia="en-GB"/>
              </w:rPr>
              <w:t>Alcohol</w:t>
            </w:r>
          </w:p>
          <w:p w14:paraId="70380AB3" w14:textId="77777777" w:rsidR="001309BD" w:rsidRPr="00651538" w:rsidRDefault="001309BD" w:rsidP="00605565">
            <w:pPr>
              <w:rPr>
                <w:sz w:val="20"/>
                <w:szCs w:val="20"/>
                <w:lang w:eastAsia="en-GB"/>
              </w:rPr>
            </w:pPr>
            <w:r w:rsidRPr="00651538">
              <w:rPr>
                <w:sz w:val="20"/>
                <w:szCs w:val="20"/>
                <w:lang w:eastAsia="en-GB"/>
              </w:rPr>
              <w:t>Hepatitis</w:t>
            </w:r>
          </w:p>
        </w:tc>
        <w:tc>
          <w:tcPr>
            <w:tcW w:w="4456" w:type="dxa"/>
            <w:shd w:val="clear" w:color="auto" w:fill="auto"/>
          </w:tcPr>
          <w:p w14:paraId="30FF6FFC" w14:textId="157581C2" w:rsidR="001309BD" w:rsidRPr="00651538" w:rsidRDefault="001309BD" w:rsidP="00605565">
            <w:pPr>
              <w:rPr>
                <w:sz w:val="20"/>
                <w:szCs w:val="20"/>
                <w:lang w:eastAsia="en-GB"/>
              </w:rPr>
            </w:pPr>
            <w:r w:rsidRPr="00651538">
              <w:rPr>
                <w:sz w:val="20"/>
                <w:szCs w:val="20"/>
                <w:lang w:eastAsia="en-GB"/>
              </w:rPr>
              <w:t>Higher rates of binge drinking in more deprived communities but significant hidden harm from alcohol in more affluent communities</w:t>
            </w:r>
            <w:r w:rsidR="0016341A" w:rsidRPr="00651538">
              <w:rPr>
                <w:sz w:val="20"/>
                <w:szCs w:val="20"/>
                <w:lang w:eastAsia="en-GB"/>
              </w:rPr>
              <w:t>.</w:t>
            </w:r>
          </w:p>
          <w:p w14:paraId="5277F33B" w14:textId="77777777" w:rsidR="001309BD" w:rsidRPr="00651538" w:rsidRDefault="001309BD" w:rsidP="00605565">
            <w:pPr>
              <w:rPr>
                <w:sz w:val="20"/>
                <w:szCs w:val="20"/>
                <w:lang w:eastAsia="en-GB"/>
              </w:rPr>
            </w:pPr>
          </w:p>
        </w:tc>
      </w:tr>
    </w:tbl>
    <w:p w14:paraId="15CDE0D3" w14:textId="77777777" w:rsidR="0048139E" w:rsidRDefault="0048139E" w:rsidP="00A86530">
      <w:pPr>
        <w:autoSpaceDE w:val="0"/>
        <w:autoSpaceDN w:val="0"/>
        <w:adjustRightInd w:val="0"/>
        <w:rPr>
          <w:bCs/>
          <w:color w:val="3E007A"/>
          <w:szCs w:val="28"/>
        </w:rPr>
      </w:pPr>
    </w:p>
    <w:p w14:paraId="693F2D3D" w14:textId="77777777" w:rsidR="001309BD" w:rsidRPr="00C235C4" w:rsidRDefault="001309BD" w:rsidP="00A86530">
      <w:pPr>
        <w:autoSpaceDE w:val="0"/>
        <w:autoSpaceDN w:val="0"/>
        <w:adjustRightInd w:val="0"/>
        <w:rPr>
          <w:sz w:val="22"/>
        </w:rPr>
      </w:pPr>
      <w:r w:rsidRPr="00C235C4">
        <w:rPr>
          <w:bCs/>
          <w:color w:val="3E007A"/>
          <w:szCs w:val="28"/>
        </w:rPr>
        <w:lastRenderedPageBreak/>
        <w:t>Child Poverty</w:t>
      </w:r>
      <w:r w:rsidRPr="00C235C4">
        <w:rPr>
          <w:bCs/>
          <w:color w:val="3E007A"/>
          <w:szCs w:val="28"/>
        </w:rPr>
        <w:tab/>
      </w:r>
    </w:p>
    <w:p w14:paraId="37B75C8B" w14:textId="062EF90A" w:rsidR="001309BD" w:rsidRPr="00651538" w:rsidRDefault="00CD11BB" w:rsidP="001309BD">
      <w:pPr>
        <w:pStyle w:val="ListParagraph"/>
        <w:numPr>
          <w:ilvl w:val="0"/>
          <w:numId w:val="8"/>
        </w:numPr>
      </w:pPr>
      <w:r>
        <w:t>Child poverty is increasing. There were 4.1</w:t>
      </w:r>
      <w:r w:rsidR="001309BD" w:rsidRPr="00651538">
        <w:t xml:space="preserve"> million children living</w:t>
      </w:r>
      <w:r>
        <w:t xml:space="preserve"> in poverty in the UK in 2016/17 (compared to 3.7m in 2013/14</w:t>
      </w:r>
      <w:proofErr w:type="gramStart"/>
      <w:r>
        <w:t>)</w:t>
      </w:r>
      <w:r w:rsidR="0016341A">
        <w:t xml:space="preserve"> </w:t>
      </w:r>
      <w:r>
        <w:t xml:space="preserve"> </w:t>
      </w:r>
      <w:r w:rsidR="0016341A">
        <w:t>that’s</w:t>
      </w:r>
      <w:proofErr w:type="gramEnd"/>
      <w:r w:rsidR="0016341A">
        <w:t xml:space="preserve"> 30</w:t>
      </w:r>
      <w:r w:rsidR="0016341A" w:rsidRPr="00651538">
        <w:t xml:space="preserve"> per cent of childre</w:t>
      </w:r>
      <w:r w:rsidR="0016341A">
        <w:t xml:space="preserve">n, or 9 in a classroom of 30. </w:t>
      </w:r>
      <w:r w:rsidR="001309BD" w:rsidRPr="00651538">
        <w:t>London is the area with the highest rates of child poverty in the country.</w:t>
      </w:r>
    </w:p>
    <w:p w14:paraId="3FA5D9E7" w14:textId="7B1F7BAF" w:rsidR="00F16FEF" w:rsidRPr="00651538" w:rsidRDefault="00F16FEF" w:rsidP="00F16FEF">
      <w:pPr>
        <w:pStyle w:val="ListParagraph"/>
        <w:numPr>
          <w:ilvl w:val="0"/>
          <w:numId w:val="8"/>
        </w:numPr>
      </w:pPr>
      <w:r>
        <w:t>Child poverty levels in Harrow are 19</w:t>
      </w:r>
      <w:r w:rsidRPr="00651538">
        <w:t>% before housing costs</w:t>
      </w:r>
      <w:r>
        <w:t xml:space="preserve"> (BHC)</w:t>
      </w:r>
      <w:r w:rsidRPr="00651538">
        <w:t xml:space="preserve">, and </w:t>
      </w:r>
      <w:r>
        <w:t>rise to 29</w:t>
      </w:r>
      <w:r w:rsidRPr="00651538">
        <w:t>% after ho</w:t>
      </w:r>
      <w:r>
        <w:t xml:space="preserve">using costs in Harrow </w:t>
      </w:r>
      <w:r w:rsidR="0016341A">
        <w:t>(2017</w:t>
      </w:r>
      <w:r>
        <w:t>). The Highest levels of child poverty are found in Roxborne (28.4% BHC), Wealdstone (25.3% BHC) and the lowest in Pinner South (10% BHC) and Headstone North (9.43% BHC)</w:t>
      </w:r>
    </w:p>
    <w:p w14:paraId="395D77C9" w14:textId="77777777" w:rsidR="001309BD" w:rsidRPr="00651538" w:rsidRDefault="001309BD" w:rsidP="001309BD">
      <w:pPr>
        <w:pStyle w:val="ListParagraph"/>
        <w:numPr>
          <w:ilvl w:val="0"/>
          <w:numId w:val="8"/>
        </w:numPr>
      </w:pPr>
      <w:r w:rsidRPr="00651538">
        <w:t>Out of 326 most deprived Local Authority districts in England, Harrow is ranked 213th which is an improvement since 2010 when the borough was ranked 184th (where 1st is the most deprived). Harrow performs best in ‘Education, Skills and Training’ and performs worst in the ‘Barriers to Housing’ and ‘Income affecting Older People’ indicators.</w:t>
      </w:r>
    </w:p>
    <w:p w14:paraId="51C91D9B" w14:textId="012D825A" w:rsidR="001309BD" w:rsidRPr="00651538" w:rsidRDefault="001309BD" w:rsidP="001309BD">
      <w:pPr>
        <w:pStyle w:val="ListParagraph"/>
        <w:numPr>
          <w:ilvl w:val="0"/>
          <w:numId w:val="8"/>
        </w:numPr>
      </w:pPr>
      <w:r w:rsidRPr="00651538">
        <w:t>Work does not provide a guaranteed route out of poverty in the UK. Two-thirds (64 per cent) of children growing up in poverty live in a family where at least one member works.</w:t>
      </w:r>
    </w:p>
    <w:p w14:paraId="3B42B44B" w14:textId="77777777" w:rsidR="001309BD" w:rsidRPr="00651538" w:rsidRDefault="001309BD" w:rsidP="001309BD">
      <w:pPr>
        <w:pStyle w:val="ListParagraph"/>
        <w:numPr>
          <w:ilvl w:val="0"/>
          <w:numId w:val="10"/>
        </w:numPr>
      </w:pPr>
      <w:r w:rsidRPr="00651538">
        <w:t>Children in large families are at a far greater risk of living in poverty – 34% of children in poverty live in families with three or more children.</w:t>
      </w:r>
    </w:p>
    <w:p w14:paraId="159B0DE7" w14:textId="77777777" w:rsidR="001309BD" w:rsidRPr="00651538" w:rsidRDefault="001309BD" w:rsidP="001309BD">
      <w:pPr>
        <w:pStyle w:val="ListParagraph"/>
        <w:numPr>
          <w:ilvl w:val="0"/>
          <w:numId w:val="10"/>
        </w:numPr>
      </w:pPr>
      <w:r w:rsidRPr="00651538">
        <w:t>Child poverty has long-lasting effects. By GCSE, there is a 28 per cent gap between children receiving free school meals (FSM) and non FSM in terms of the number achieving at least 5 A*-C GCSE grades.</w:t>
      </w:r>
    </w:p>
    <w:p w14:paraId="7871213E" w14:textId="32589058" w:rsidR="001309BD" w:rsidRPr="00651538" w:rsidRDefault="001309BD" w:rsidP="001309BD">
      <w:pPr>
        <w:pStyle w:val="ListParagraph"/>
        <w:numPr>
          <w:ilvl w:val="0"/>
          <w:numId w:val="10"/>
        </w:numPr>
      </w:pPr>
      <w:r w:rsidRPr="00651538">
        <w:t>Poverty is also related to more complicated health histories over the course of a lifetime, again influencing earnings as well as the overall quality – and indee</w:t>
      </w:r>
      <w:r w:rsidR="00C235C4">
        <w:t xml:space="preserve">d length </w:t>
      </w:r>
      <w:r w:rsidRPr="00651538">
        <w:t xml:space="preserve">of life. Childcare and housing are two of the costs that take the biggest toll on families’ budgets. </w:t>
      </w:r>
    </w:p>
    <w:p w14:paraId="32C804E9" w14:textId="77777777" w:rsidR="00C235C4" w:rsidRDefault="00C235C4" w:rsidP="001309BD">
      <w:pPr>
        <w:rPr>
          <w:rFonts w:eastAsia="Arial"/>
          <w:color w:val="3E007A"/>
          <w:highlight w:val="yellow"/>
        </w:rPr>
      </w:pPr>
    </w:p>
    <w:p w14:paraId="77816FE6" w14:textId="77777777" w:rsidR="001309BD" w:rsidRPr="00C235C4" w:rsidRDefault="001309BD" w:rsidP="001309BD">
      <w:pPr>
        <w:rPr>
          <w:rFonts w:eastAsia="Arial"/>
          <w:szCs w:val="28"/>
        </w:rPr>
      </w:pPr>
      <w:r w:rsidRPr="00C235C4">
        <w:rPr>
          <w:rFonts w:eastAsia="Arial"/>
          <w:color w:val="3E007A"/>
          <w:szCs w:val="28"/>
        </w:rPr>
        <w:t>Housing</w:t>
      </w:r>
    </w:p>
    <w:p w14:paraId="3BAEC54A" w14:textId="2BEEFC47" w:rsidR="001309BD" w:rsidRDefault="00C5119E" w:rsidP="001309BD">
      <w:pPr>
        <w:rPr>
          <w:bCs/>
        </w:rPr>
      </w:pPr>
      <w:r w:rsidRPr="00C5119E">
        <w:rPr>
          <w:bCs/>
        </w:rPr>
        <w:t xml:space="preserve">At just 10% Harrow has the third lowest proportion of </w:t>
      </w:r>
      <w:r w:rsidR="0041590F">
        <w:rPr>
          <w:bCs/>
        </w:rPr>
        <w:t xml:space="preserve">households living in </w:t>
      </w:r>
      <w:r w:rsidRPr="00C5119E">
        <w:rPr>
          <w:bCs/>
        </w:rPr>
        <w:t>social housing of any of the London boroughs</w:t>
      </w:r>
      <w:r w:rsidRPr="00C5119E">
        <w:rPr>
          <w:bCs/>
          <w:vertAlign w:val="superscript"/>
        </w:rPr>
        <w:footnoteReference w:id="19"/>
      </w:r>
      <w:r w:rsidR="001309BD">
        <w:rPr>
          <w:bCs/>
        </w:rPr>
        <w:t xml:space="preserve">.  At </w:t>
      </w:r>
      <w:r w:rsidR="0041590F">
        <w:rPr>
          <w:bCs/>
        </w:rPr>
        <w:t>March 2018</w:t>
      </w:r>
      <w:r w:rsidR="001309BD">
        <w:rPr>
          <w:bCs/>
        </w:rPr>
        <w:t xml:space="preserve"> there were</w:t>
      </w:r>
      <w:r w:rsidR="001309BD" w:rsidRPr="00C2300F">
        <w:rPr>
          <w:bCs/>
        </w:rPr>
        <w:t xml:space="preserve"> 4,</w:t>
      </w:r>
      <w:r w:rsidR="0041590F">
        <w:rPr>
          <w:bCs/>
        </w:rPr>
        <w:t>759</w:t>
      </w:r>
      <w:r w:rsidR="001309BD" w:rsidRPr="00C2300F">
        <w:rPr>
          <w:bCs/>
        </w:rPr>
        <w:t xml:space="preserve"> council </w:t>
      </w:r>
      <w:r w:rsidR="00F16FEF">
        <w:rPr>
          <w:bCs/>
        </w:rPr>
        <w:t>properties</w:t>
      </w:r>
      <w:r w:rsidR="001309BD">
        <w:rPr>
          <w:bCs/>
        </w:rPr>
        <w:t xml:space="preserve"> and there are a similar number of Ho</w:t>
      </w:r>
      <w:r w:rsidR="00A86530">
        <w:rPr>
          <w:bCs/>
        </w:rPr>
        <w:t xml:space="preserve">using Association properties. </w:t>
      </w:r>
      <w:r w:rsidR="001309BD" w:rsidRPr="00BF165E">
        <w:rPr>
          <w:bCs/>
        </w:rPr>
        <w:t>Households from all of Harrow’s diverse ethnic</w:t>
      </w:r>
      <w:r w:rsidR="001309BD">
        <w:rPr>
          <w:bCs/>
        </w:rPr>
        <w:t xml:space="preserve"> groups live in social housing</w:t>
      </w:r>
      <w:r w:rsidR="001309BD" w:rsidRPr="00BF165E">
        <w:rPr>
          <w:bCs/>
        </w:rPr>
        <w:t xml:space="preserve">, reflecting the overall make-up of the borough’s population.  Where ethnicity is known, the largest single ethnic group housed within the </w:t>
      </w:r>
      <w:r w:rsidR="00A86530">
        <w:rPr>
          <w:bCs/>
        </w:rPr>
        <w:t>c</w:t>
      </w:r>
      <w:r w:rsidR="001309BD" w:rsidRPr="00BF165E">
        <w:rPr>
          <w:bCs/>
        </w:rPr>
        <w:t>ouncil's stock is White followed by A</w:t>
      </w:r>
      <w:r>
        <w:rPr>
          <w:bCs/>
        </w:rPr>
        <w:t>sian and then Black</w:t>
      </w:r>
      <w:r w:rsidR="001309BD" w:rsidRPr="00BF165E">
        <w:rPr>
          <w:bCs/>
        </w:rPr>
        <w:t>.</w:t>
      </w:r>
    </w:p>
    <w:p w14:paraId="3AD36FBD" w14:textId="77777777" w:rsidR="001309BD" w:rsidRDefault="001309BD" w:rsidP="001309BD">
      <w:pPr>
        <w:rPr>
          <w:bCs/>
        </w:rPr>
      </w:pPr>
    </w:p>
    <w:p w14:paraId="39971B8D" w14:textId="14CDA810" w:rsidR="001309BD" w:rsidRDefault="001309BD" w:rsidP="001309BD">
      <w:pPr>
        <w:rPr>
          <w:bCs/>
        </w:rPr>
      </w:pPr>
      <w:r>
        <w:rPr>
          <w:bCs/>
        </w:rPr>
        <w:t>At the 2011 Census</w:t>
      </w:r>
      <w:r w:rsidR="0041590F">
        <w:rPr>
          <w:bCs/>
        </w:rPr>
        <w:t>,</w:t>
      </w:r>
      <w:r>
        <w:rPr>
          <w:bCs/>
        </w:rPr>
        <w:t xml:space="preserve"> 66% </w:t>
      </w:r>
      <w:r w:rsidR="00F16FEF">
        <w:rPr>
          <w:bCs/>
        </w:rPr>
        <w:t xml:space="preserve">of residents </w:t>
      </w:r>
      <w:r>
        <w:rPr>
          <w:bCs/>
        </w:rPr>
        <w:t xml:space="preserve">were homeowners, but </w:t>
      </w:r>
      <w:r w:rsidR="00F16FEF">
        <w:rPr>
          <w:bCs/>
        </w:rPr>
        <w:t>that has declined</w:t>
      </w:r>
      <w:r w:rsidR="0041590F">
        <w:rPr>
          <w:bCs/>
        </w:rPr>
        <w:t xml:space="preserve"> since</w:t>
      </w:r>
      <w:r w:rsidR="00F16FEF">
        <w:rPr>
          <w:bCs/>
        </w:rPr>
        <w:t xml:space="preserve"> to around 60% in 2017</w:t>
      </w:r>
      <w:r w:rsidR="0041590F">
        <w:rPr>
          <w:bCs/>
        </w:rPr>
        <w:t xml:space="preserve"> whilst private rented sector is increasing</w:t>
      </w:r>
      <w:r w:rsidR="00F16FEF">
        <w:rPr>
          <w:bCs/>
        </w:rPr>
        <w:t xml:space="preserve"> from 22% in 2011 to around 30% in 2017. </w:t>
      </w:r>
      <w:r w:rsidR="0041590F">
        <w:rPr>
          <w:bCs/>
        </w:rPr>
        <w:t xml:space="preserve">Over half of Harrow’s council homes have been sold under Right to </w:t>
      </w:r>
      <w:proofErr w:type="gramStart"/>
      <w:r w:rsidR="0041590F">
        <w:rPr>
          <w:bCs/>
        </w:rPr>
        <w:t>Buy</w:t>
      </w:r>
      <w:proofErr w:type="gramEnd"/>
      <w:r w:rsidR="0041590F">
        <w:rPr>
          <w:bCs/>
        </w:rPr>
        <w:t xml:space="preserve"> since it was introduced in 1980.</w:t>
      </w:r>
      <w:r>
        <w:rPr>
          <w:bCs/>
        </w:rPr>
        <w:t xml:space="preserve">  </w:t>
      </w:r>
    </w:p>
    <w:p w14:paraId="7508BD2C" w14:textId="77777777" w:rsidR="001309BD" w:rsidRDefault="001309BD" w:rsidP="001309BD">
      <w:pPr>
        <w:rPr>
          <w:bCs/>
        </w:rPr>
      </w:pPr>
    </w:p>
    <w:p w14:paraId="6B4E2FBA" w14:textId="77777777" w:rsidR="001309BD" w:rsidRDefault="001309BD" w:rsidP="001309BD">
      <w:pPr>
        <w:rPr>
          <w:bCs/>
        </w:rPr>
      </w:pPr>
      <w:r w:rsidRPr="00306D78">
        <w:rPr>
          <w:bCs/>
        </w:rPr>
        <w:lastRenderedPageBreak/>
        <w:t xml:space="preserve">The 2011 Census revealed that 5.8% of Harrow’s households, almost 5,000 families, were ‘severely overcrowded’, and this is increasing over time.  ‘Severely overcrowded’ is defined as being at least 2 bedrooms short of the national ‘bedroom standard’.  At 2.8 Harrow has the second largest average household size in England and is nationally ranked 24th worst of the 326 local authorities in England for severe overcrowding.  There is a concentration of severely overcrowded households in the central wards as well as to the south-east and south-west of the Borough.  </w:t>
      </w:r>
    </w:p>
    <w:p w14:paraId="3189DE65" w14:textId="77777777" w:rsidR="001309BD" w:rsidRDefault="001309BD" w:rsidP="001309BD">
      <w:pPr>
        <w:rPr>
          <w:bCs/>
        </w:rPr>
      </w:pPr>
    </w:p>
    <w:p w14:paraId="10DB0C40" w14:textId="57EFDEA1" w:rsidR="00C5119E" w:rsidRDefault="0041590F" w:rsidP="00C5119E">
      <w:pPr>
        <w:rPr>
          <w:bCs/>
        </w:rPr>
      </w:pPr>
      <w:r>
        <w:rPr>
          <w:bCs/>
        </w:rPr>
        <w:t>A</w:t>
      </w:r>
      <w:r w:rsidR="00C5119E" w:rsidRPr="00C5119E">
        <w:rPr>
          <w:bCs/>
        </w:rPr>
        <w:t xml:space="preserve">pplications for social housing have doubled over the last 7 years and the number accepted as being eligible, unintentionally homeless and in priority need has risen tenfold (45 in 2009/10 to 449 in 2016/17), mostly due to loss of private rented accommodation.  Despite the huge emphasis on homelessness prevention there has been a 50% increase in demand for temporary and emergency accommodation over the last three years.  </w:t>
      </w:r>
      <w:r>
        <w:rPr>
          <w:bCs/>
        </w:rPr>
        <w:t>At March 2018 we had about 880 families in temporary accommodation</w:t>
      </w:r>
      <w:r w:rsidRPr="0041590F">
        <w:rPr>
          <w:bCs/>
        </w:rPr>
        <w:t xml:space="preserve"> </w:t>
      </w:r>
      <w:r>
        <w:rPr>
          <w:bCs/>
        </w:rPr>
        <w:t xml:space="preserve">(with the majority </w:t>
      </w:r>
      <w:r w:rsidRPr="00C5119E">
        <w:rPr>
          <w:bCs/>
        </w:rPr>
        <w:t>l</w:t>
      </w:r>
      <w:r>
        <w:rPr>
          <w:bCs/>
        </w:rPr>
        <w:t xml:space="preserve">eased from a private landlord) with about 10% placed out of borough. </w:t>
      </w:r>
      <w:r w:rsidR="00C378C6" w:rsidRPr="00C378C6">
        <w:rPr>
          <w:bCs/>
        </w:rPr>
        <w:t>We have successfully brought down the number of households in emergency B&amp;B accommodation by over 60% from a peak of 307 families in June 2016 to 116 families by the end of 2017. </w:t>
      </w:r>
    </w:p>
    <w:p w14:paraId="375713D5" w14:textId="77777777" w:rsidR="00C5119E" w:rsidRPr="00C5119E" w:rsidRDefault="00C5119E" w:rsidP="00C5119E">
      <w:pPr>
        <w:rPr>
          <w:bCs/>
        </w:rPr>
      </w:pPr>
    </w:p>
    <w:p w14:paraId="4F9936DE" w14:textId="77777777" w:rsidR="001309BD" w:rsidRPr="006B462F" w:rsidRDefault="001309BD" w:rsidP="001309BD">
      <w:pPr>
        <w:rPr>
          <w:color w:val="3E007A"/>
        </w:rPr>
      </w:pPr>
      <w:r w:rsidRPr="006B462F">
        <w:rPr>
          <w:color w:val="3E007A"/>
        </w:rPr>
        <w:t>Education and Attainment</w:t>
      </w:r>
    </w:p>
    <w:p w14:paraId="03F637CC" w14:textId="78476975" w:rsidR="00C378C6" w:rsidRDefault="0041590F" w:rsidP="001309BD">
      <w:r>
        <w:t xml:space="preserve">Schools in Harrow are </w:t>
      </w:r>
      <w:r w:rsidR="00C378C6" w:rsidRPr="006B462F">
        <w:t>on the whole, among the best performing in the country which has been maintaine</w:t>
      </w:r>
      <w:r w:rsidR="00C378C6">
        <w:t xml:space="preserve">d over a number of years. </w:t>
      </w:r>
      <w:r w:rsidR="00C378C6" w:rsidRPr="00C378C6">
        <w:t>There are 59 schools in the borough, of which 96% are judged as good or outstanding by Ofsted</w:t>
      </w:r>
      <w:r w:rsidR="00C378C6">
        <w:t xml:space="preserve">. </w:t>
      </w:r>
      <w:r w:rsidR="00C378C6" w:rsidRPr="00C378C6">
        <w:t xml:space="preserve">Our primary schools rank in the top 10% nationally for key stage 2 results in reading, writing and maths and our secondary schools </w:t>
      </w:r>
      <w:r w:rsidR="00C378C6" w:rsidRPr="00C378C6">
        <w:rPr>
          <w:lang w:val="en-US"/>
        </w:rPr>
        <w:t>rank 15th out of 150 local authorities for pupils achieving Grade 5 or above in English &amp; maths and 22</w:t>
      </w:r>
      <w:r w:rsidR="00C378C6" w:rsidRPr="00C378C6">
        <w:rPr>
          <w:vertAlign w:val="superscript"/>
          <w:lang w:val="en-US"/>
        </w:rPr>
        <w:t>nd</w:t>
      </w:r>
      <w:r w:rsidR="00C378C6">
        <w:rPr>
          <w:lang w:val="en-US"/>
        </w:rPr>
        <w:t xml:space="preserve"> </w:t>
      </w:r>
      <w:r w:rsidR="00C378C6" w:rsidRPr="00C378C6">
        <w:rPr>
          <w:lang w:val="en-US"/>
        </w:rPr>
        <w:t>for the Attainment 8 score at KS4.</w:t>
      </w:r>
      <w:r w:rsidR="00C378C6" w:rsidRPr="00C378C6">
        <w:t xml:space="preserve"> Harrow has also been ranked joint 4</w:t>
      </w:r>
      <w:r w:rsidR="00C378C6" w:rsidRPr="00C378C6">
        <w:rPr>
          <w:vertAlign w:val="superscript"/>
        </w:rPr>
        <w:t>th</w:t>
      </w:r>
      <w:r w:rsidR="00C378C6" w:rsidRPr="00C378C6">
        <w:t xml:space="preserve"> best performing area nationally in 2017 for pupils progress (progress 8 score) and in December 2016 a report by the Education Policy Institute ranked Harrow top nationally for the highest density of high performing schools in England by local authority between 2010 – 2015. 98.7% of 16-18 year olds are in education, employment or training.</w:t>
      </w:r>
    </w:p>
    <w:p w14:paraId="540DD4C1" w14:textId="77777777" w:rsidR="00C378C6" w:rsidRDefault="00C378C6" w:rsidP="001309BD"/>
    <w:p w14:paraId="3ED7D509" w14:textId="1DE36155" w:rsidR="00C378C6" w:rsidRDefault="001309BD" w:rsidP="001309BD">
      <w:r w:rsidRPr="006B462F">
        <w:t xml:space="preserve">The inequality gap in achievement in Harrow continues to narrow, however is still above national averages. Whilst all pupils in Harrow have performed above national averages, particular ethnic groups within Harrow do not fare as well as others. Inequalities in education </w:t>
      </w:r>
      <w:r w:rsidR="0041590F">
        <w:t xml:space="preserve">in Harrow exist </w:t>
      </w:r>
      <w:r w:rsidRPr="006B462F">
        <w:t>particularly amongst children with special educational needs (SEN), those eligible for F</w:t>
      </w:r>
      <w:r w:rsidR="00C5119E">
        <w:t xml:space="preserve">ree </w:t>
      </w:r>
      <w:r w:rsidRPr="006B462F">
        <w:t>S</w:t>
      </w:r>
      <w:r w:rsidR="00C5119E">
        <w:t xml:space="preserve">chool </w:t>
      </w:r>
      <w:r w:rsidRPr="006B462F">
        <w:t>M</w:t>
      </w:r>
      <w:r w:rsidR="00C5119E">
        <w:t>eals (FSM)</w:t>
      </w:r>
      <w:r w:rsidR="0041590F">
        <w:t xml:space="preserve"> and ethnic groups</w:t>
      </w:r>
      <w:r w:rsidRPr="006B462F">
        <w:t>. The achievement gap between pupils with SEN and their peers at Key Stage 2 is slightly wi</w:t>
      </w:r>
      <w:r w:rsidR="00C378C6">
        <w:t xml:space="preserve">der than the national average. </w:t>
      </w:r>
      <w:r w:rsidRPr="006B462F">
        <w:t xml:space="preserve">Although there has been a reduction in the gap, children who receive FSM show less progress across all subjects between Key Stage 1 and Key Stage 2 compared to their peers. </w:t>
      </w:r>
    </w:p>
    <w:p w14:paraId="54E9D48E" w14:textId="77777777" w:rsidR="00C378C6" w:rsidRPr="00C378C6" w:rsidRDefault="00C378C6" w:rsidP="00C378C6">
      <w:pPr>
        <w:rPr>
          <w:b/>
          <w:i/>
        </w:rPr>
      </w:pPr>
    </w:p>
    <w:p w14:paraId="5692238E" w14:textId="791496F4" w:rsidR="001309BD" w:rsidRPr="00137B40" w:rsidRDefault="001309BD" w:rsidP="001309BD">
      <w:proofErr w:type="gramStart"/>
      <w:r w:rsidRPr="006B462F">
        <w:t>Just over a third (36.7 per cent) of Harrow School children spoke English as a first language as at the January 2016 school census.</w:t>
      </w:r>
      <w:proofErr w:type="gramEnd"/>
      <w:r w:rsidRPr="006B462F">
        <w:t xml:space="preserve">  </w:t>
      </w:r>
    </w:p>
    <w:p w14:paraId="3F6AD9D9" w14:textId="77777777" w:rsidR="001309BD" w:rsidRDefault="001309BD" w:rsidP="00A55C91"/>
    <w:p w14:paraId="01343CD1" w14:textId="6B024301" w:rsidR="00605565" w:rsidRPr="0048139E" w:rsidRDefault="00675791" w:rsidP="00605565">
      <w:pPr>
        <w:rPr>
          <w:rFonts w:eastAsia="Arial"/>
          <w:color w:val="3E007A"/>
          <w:szCs w:val="28"/>
        </w:rPr>
      </w:pPr>
      <w:r>
        <w:rPr>
          <w:rFonts w:eastAsia="Arial"/>
          <w:color w:val="3E007A"/>
          <w:szCs w:val="28"/>
        </w:rPr>
        <w:t>Adult Social Care</w:t>
      </w:r>
    </w:p>
    <w:p w14:paraId="5DB2E229" w14:textId="77A4D8C0" w:rsidR="00605565" w:rsidRDefault="00605565" w:rsidP="00605565">
      <w:pPr>
        <w:rPr>
          <w:rFonts w:eastAsia="Arial"/>
          <w:szCs w:val="32"/>
        </w:rPr>
      </w:pPr>
    </w:p>
    <w:p w14:paraId="329B215A" w14:textId="5DD86AE6" w:rsidR="00605565" w:rsidRPr="00183D29" w:rsidRDefault="00605565" w:rsidP="00605565">
      <w:pPr>
        <w:rPr>
          <w:rFonts w:eastAsia="Arial"/>
          <w:color w:val="3E007A"/>
          <w:sz w:val="32"/>
          <w:szCs w:val="32"/>
        </w:rPr>
      </w:pPr>
      <w:r>
        <w:rPr>
          <w:rFonts w:eastAsia="Arial"/>
          <w:szCs w:val="32"/>
        </w:rPr>
        <w:t xml:space="preserve">2227 older people were receiving long-term support services from Harrow Adult Social Care Services during </w:t>
      </w:r>
      <w:r w:rsidR="00675791">
        <w:rPr>
          <w:rFonts w:eastAsia="Arial"/>
          <w:szCs w:val="32"/>
        </w:rPr>
        <w:t>20</w:t>
      </w:r>
      <w:r>
        <w:rPr>
          <w:rFonts w:eastAsia="Arial"/>
          <w:szCs w:val="32"/>
        </w:rPr>
        <w:t>16-17 (SALT) – approximately 6.6% of all older people in the B</w:t>
      </w:r>
      <w:r w:rsidR="00675791">
        <w:rPr>
          <w:rFonts w:eastAsia="Arial"/>
          <w:szCs w:val="32"/>
        </w:rPr>
        <w:t>orough. This compares to London</w:t>
      </w:r>
      <w:r>
        <w:rPr>
          <w:rFonts w:eastAsia="Arial"/>
          <w:szCs w:val="32"/>
        </w:rPr>
        <w:t xml:space="preserve"> </w:t>
      </w:r>
      <w:r w:rsidR="00675791">
        <w:rPr>
          <w:rFonts w:eastAsia="Arial"/>
          <w:szCs w:val="32"/>
        </w:rPr>
        <w:t>(which averages 8.5%)</w:t>
      </w:r>
      <w:r>
        <w:rPr>
          <w:rFonts w:eastAsia="Arial"/>
          <w:szCs w:val="32"/>
        </w:rPr>
        <w:t xml:space="preserve"> </w:t>
      </w:r>
      <w:r w:rsidR="00675791">
        <w:rPr>
          <w:rFonts w:eastAsia="Arial"/>
          <w:szCs w:val="32"/>
        </w:rPr>
        <w:t xml:space="preserve">and England (average of </w:t>
      </w:r>
      <w:proofErr w:type="gramStart"/>
      <w:r w:rsidR="00675791">
        <w:rPr>
          <w:rFonts w:eastAsia="Arial"/>
          <w:szCs w:val="32"/>
        </w:rPr>
        <w:t>6.7%</w:t>
      </w:r>
      <w:proofErr w:type="gramEnd"/>
      <w:r w:rsidR="00675791">
        <w:rPr>
          <w:rFonts w:eastAsia="Arial"/>
          <w:szCs w:val="32"/>
        </w:rPr>
        <w:t>.)</w:t>
      </w:r>
      <w:r>
        <w:rPr>
          <w:rFonts w:eastAsia="Arial"/>
          <w:szCs w:val="32"/>
        </w:rPr>
        <w:t xml:space="preserve"> </w:t>
      </w:r>
      <w:r w:rsidRPr="002C0339">
        <w:rPr>
          <w:rFonts w:eastAsia="Arial"/>
          <w:szCs w:val="32"/>
        </w:rPr>
        <w:t>The majority (73%) of people receiving long-term services</w:t>
      </w:r>
      <w:r>
        <w:rPr>
          <w:rFonts w:eastAsia="Arial"/>
          <w:szCs w:val="32"/>
        </w:rPr>
        <w:t xml:space="preserve"> in Harrow</w:t>
      </w:r>
      <w:r w:rsidRPr="002C0339">
        <w:rPr>
          <w:rFonts w:eastAsia="Arial"/>
          <w:szCs w:val="32"/>
        </w:rPr>
        <w:t xml:space="preserve"> are residing in the community. The remaining users are in either residential (14%) or nursing care (13%). </w:t>
      </w:r>
      <w:r>
        <w:rPr>
          <w:rFonts w:eastAsia="Arial"/>
          <w:szCs w:val="32"/>
        </w:rPr>
        <w:t>The proportion is almost identical to the London average. Older service users (74%) are similarly mainly residing in the community with the remaining users either in (14%) residential or (12%) nursing settings.  In comparison to the England average (61%), we find Harrow has a much higher proportion of older people receiving services in the community and a far smaller proportion in residential placement (25%)</w:t>
      </w:r>
      <w:r w:rsidR="00675791">
        <w:rPr>
          <w:rFonts w:eastAsia="Arial"/>
          <w:szCs w:val="32"/>
        </w:rPr>
        <w:t>.</w:t>
      </w:r>
      <w:r>
        <w:rPr>
          <w:rFonts w:eastAsia="Arial"/>
          <w:szCs w:val="32"/>
        </w:rPr>
        <w:t xml:space="preserve">  Nursing placements in England (13%) are however the same as Harrow. </w:t>
      </w:r>
    </w:p>
    <w:p w14:paraId="045B471A" w14:textId="77777777" w:rsidR="00605565" w:rsidRDefault="00605565" w:rsidP="00605565">
      <w:pPr>
        <w:rPr>
          <w:rFonts w:eastAsia="Arial"/>
          <w:szCs w:val="32"/>
        </w:rPr>
      </w:pPr>
    </w:p>
    <w:p w14:paraId="3CC355E9" w14:textId="77777777" w:rsidR="00605565" w:rsidRDefault="00605565" w:rsidP="00605565">
      <w:pPr>
        <w:rPr>
          <w:rFonts w:eastAsia="Arial"/>
          <w:color w:val="3E007A"/>
          <w:sz w:val="32"/>
          <w:szCs w:val="32"/>
        </w:rPr>
      </w:pPr>
      <w:r>
        <w:rPr>
          <w:rFonts w:eastAsia="Arial"/>
          <w:szCs w:val="32"/>
        </w:rPr>
        <w:t xml:space="preserve">The 2017 Long Term Services User Survey found differences in self-reported Quality of Life between those respondents over and </w:t>
      </w:r>
      <w:proofErr w:type="gramStart"/>
      <w:r>
        <w:rPr>
          <w:rFonts w:eastAsia="Arial"/>
          <w:szCs w:val="32"/>
        </w:rPr>
        <w:t>under</w:t>
      </w:r>
      <w:proofErr w:type="gramEnd"/>
      <w:r>
        <w:rPr>
          <w:rFonts w:eastAsia="Arial"/>
          <w:szCs w:val="32"/>
        </w:rPr>
        <w:t xml:space="preserve"> 75.  Those over 75 were less likely to report “very poor” Quality of Life, but also less likely to report “very good” Quality of Life.</w:t>
      </w:r>
    </w:p>
    <w:p w14:paraId="2CC39E97" w14:textId="77777777" w:rsidR="00605565" w:rsidRPr="00183D29" w:rsidRDefault="00605565" w:rsidP="00605565">
      <w:pPr>
        <w:rPr>
          <w:rFonts w:eastAsia="Arial"/>
          <w:color w:val="3E007A"/>
          <w:sz w:val="32"/>
          <w:szCs w:val="32"/>
        </w:rPr>
      </w:pPr>
      <w:r>
        <w:rPr>
          <w:rFonts w:eastAsia="Arial"/>
          <w:szCs w:val="32"/>
        </w:rPr>
        <w:t>Those over 75 were less likely to report being “extremely satisfied” with the support they received than those under 75.</w:t>
      </w:r>
    </w:p>
    <w:p w14:paraId="67A7E39D" w14:textId="77777777" w:rsidR="00605565" w:rsidRPr="00605565" w:rsidRDefault="00605565" w:rsidP="00605565">
      <w:pPr>
        <w:rPr>
          <w:rFonts w:eastAsia="Arial"/>
          <w:color w:val="3E007A"/>
          <w:sz w:val="32"/>
          <w:szCs w:val="32"/>
        </w:rPr>
      </w:pPr>
    </w:p>
    <w:p w14:paraId="2ED3F94B" w14:textId="77777777" w:rsidR="00605565" w:rsidRPr="007A0BFE" w:rsidRDefault="00605565" w:rsidP="00605565">
      <w:pPr>
        <w:rPr>
          <w:rFonts w:eastAsia="Arial"/>
          <w:color w:val="8064A2" w:themeColor="accent4"/>
          <w:szCs w:val="32"/>
        </w:rPr>
      </w:pPr>
      <w:r w:rsidRPr="007A0BFE">
        <w:rPr>
          <w:rFonts w:eastAsia="Arial"/>
          <w:color w:val="8064A2" w:themeColor="accent4"/>
          <w:szCs w:val="32"/>
        </w:rPr>
        <w:t>Carers</w:t>
      </w:r>
    </w:p>
    <w:p w14:paraId="0F59E326" w14:textId="5289E6E0" w:rsidR="00605565" w:rsidRPr="0048139E" w:rsidRDefault="00605565" w:rsidP="00605565">
      <w:pPr>
        <w:rPr>
          <w:rFonts w:eastAsia="Arial"/>
          <w:color w:val="3E007A"/>
          <w:sz w:val="32"/>
          <w:szCs w:val="32"/>
        </w:rPr>
      </w:pPr>
      <w:r>
        <w:rPr>
          <w:rFonts w:eastAsia="Arial"/>
          <w:szCs w:val="32"/>
        </w:rPr>
        <w:t xml:space="preserve">376 carers assessed or supported by the local authority during 2016-17 were aged 65 or over, </w:t>
      </w:r>
      <w:r w:rsidR="00675791">
        <w:rPr>
          <w:rFonts w:eastAsia="Arial"/>
          <w:szCs w:val="32"/>
        </w:rPr>
        <w:t xml:space="preserve">accounting for </w:t>
      </w:r>
      <w:r>
        <w:rPr>
          <w:rFonts w:eastAsia="Arial"/>
          <w:szCs w:val="32"/>
        </w:rPr>
        <w:t>36% of all carers</w:t>
      </w:r>
      <w:r w:rsidRPr="00522BD0">
        <w:rPr>
          <w:rFonts w:eastAsia="Arial"/>
          <w:szCs w:val="32"/>
        </w:rPr>
        <w:t xml:space="preserve"> </w:t>
      </w:r>
      <w:r>
        <w:rPr>
          <w:rFonts w:eastAsia="Arial"/>
          <w:szCs w:val="32"/>
        </w:rPr>
        <w:t>supported by the local authority.  39 (3.7%) of them were aged 85 and older.</w:t>
      </w:r>
      <w:r>
        <w:rPr>
          <w:rFonts w:eastAsia="Arial"/>
          <w:color w:val="3E007A"/>
          <w:sz w:val="32"/>
          <w:szCs w:val="32"/>
        </w:rPr>
        <w:t xml:space="preserve"> </w:t>
      </w:r>
      <w:r>
        <w:rPr>
          <w:rFonts w:eastAsia="Arial"/>
          <w:szCs w:val="32"/>
        </w:rPr>
        <w:t xml:space="preserve">The Quality of Life of older carers responding to the survey was not significantly different than younger carers </w:t>
      </w:r>
      <w:proofErr w:type="gramStart"/>
      <w:r>
        <w:rPr>
          <w:rFonts w:eastAsia="Arial"/>
          <w:szCs w:val="32"/>
        </w:rPr>
        <w:t>(2016-17 Carers Survey)</w:t>
      </w:r>
      <w:proofErr w:type="gramEnd"/>
      <w:r>
        <w:rPr>
          <w:rFonts w:eastAsia="Arial"/>
          <w:szCs w:val="32"/>
        </w:rPr>
        <w:t xml:space="preserve">  </w:t>
      </w:r>
    </w:p>
    <w:p w14:paraId="066BDFBB" w14:textId="77777777" w:rsidR="00605565" w:rsidRPr="007B14F3" w:rsidRDefault="00605565" w:rsidP="00605565">
      <w:pPr>
        <w:rPr>
          <w:rFonts w:eastAsia="Arial"/>
          <w:szCs w:val="32"/>
        </w:rPr>
      </w:pPr>
    </w:p>
    <w:p w14:paraId="7372C1E0" w14:textId="5F2F8421" w:rsidR="00240018" w:rsidRPr="0048139E" w:rsidRDefault="0048139E" w:rsidP="00240018">
      <w:pPr>
        <w:rPr>
          <w:color w:val="7030A0"/>
        </w:rPr>
      </w:pPr>
      <w:r w:rsidRPr="0048139E">
        <w:rPr>
          <w:color w:val="7030A0"/>
        </w:rPr>
        <w:t>O</w:t>
      </w:r>
      <w:r>
        <w:rPr>
          <w:color w:val="7030A0"/>
        </w:rPr>
        <w:t>ur W</w:t>
      </w:r>
      <w:r w:rsidR="00240018" w:rsidRPr="0048139E">
        <w:rPr>
          <w:color w:val="7030A0"/>
        </w:rPr>
        <w:t>orkforce</w:t>
      </w:r>
    </w:p>
    <w:p w14:paraId="1484B061" w14:textId="77777777" w:rsidR="00240018" w:rsidRDefault="00240018" w:rsidP="00240018">
      <w:r>
        <w:t xml:space="preserve">Amongst the </w:t>
      </w:r>
      <w:proofErr w:type="gramStart"/>
      <w:r>
        <w:t>c</w:t>
      </w:r>
      <w:r w:rsidRPr="00530182">
        <w:t>ouncil</w:t>
      </w:r>
      <w:r>
        <w:t>s</w:t>
      </w:r>
      <w:proofErr w:type="gramEnd"/>
      <w:r>
        <w:t xml:space="preserve"> staff, including </w:t>
      </w:r>
      <w:r w:rsidRPr="00530182">
        <w:t xml:space="preserve">schools, as at </w:t>
      </w:r>
      <w:r>
        <w:t xml:space="preserve">the end of March 2018, </w:t>
      </w:r>
      <w:r w:rsidRPr="00530182">
        <w:t xml:space="preserve">43.72% </w:t>
      </w:r>
      <w:r>
        <w:t xml:space="preserve">are </w:t>
      </w:r>
      <w:r w:rsidRPr="00530182">
        <w:t>BAME</w:t>
      </w:r>
      <w:r>
        <w:t xml:space="preserve">, </w:t>
      </w:r>
      <w:r w:rsidRPr="00530182">
        <w:t xml:space="preserve">77.10% </w:t>
      </w:r>
      <w:r>
        <w:t>are f</w:t>
      </w:r>
      <w:r w:rsidRPr="00530182">
        <w:t xml:space="preserve">emale and 22.90% </w:t>
      </w:r>
      <w:r>
        <w:t xml:space="preserve">are </w:t>
      </w:r>
      <w:r w:rsidRPr="00530182">
        <w:t>male</w:t>
      </w:r>
      <w:r>
        <w:t xml:space="preserve"> and </w:t>
      </w:r>
      <w:r w:rsidRPr="00530182">
        <w:t>1.99% declared a disability</w:t>
      </w:r>
      <w:r>
        <w:t>.</w:t>
      </w:r>
    </w:p>
    <w:p w14:paraId="435E9476" w14:textId="1E723BC6" w:rsidR="00F52999" w:rsidRDefault="00F52999">
      <w:r>
        <w:br w:type="page"/>
      </w:r>
    </w:p>
    <w:p w14:paraId="416F3269" w14:textId="77777777" w:rsidR="00240018" w:rsidRDefault="00240018" w:rsidP="00240018"/>
    <w:p w14:paraId="7D3F21DA" w14:textId="7B521345" w:rsidR="00A55C91" w:rsidRPr="00D4615E" w:rsidRDefault="00A55C91" w:rsidP="00D4615E">
      <w:pPr>
        <w:pStyle w:val="NoSpacing"/>
        <w:numPr>
          <w:ilvl w:val="0"/>
          <w:numId w:val="15"/>
        </w:numPr>
        <w:jc w:val="both"/>
        <w:rPr>
          <w:rFonts w:ascii="Arial" w:hAnsi="Arial" w:cs="Arial"/>
          <w:b/>
          <w:sz w:val="24"/>
          <w:szCs w:val="24"/>
        </w:rPr>
      </w:pPr>
      <w:r w:rsidRPr="00D4615E">
        <w:rPr>
          <w:rFonts w:ascii="Arial" w:hAnsi="Arial" w:cs="Arial"/>
          <w:b/>
          <w:color w:val="3E007A"/>
          <w:sz w:val="28"/>
          <w:szCs w:val="28"/>
        </w:rPr>
        <w:t>Reviewing Progress &amp; Setting Priorities</w:t>
      </w:r>
    </w:p>
    <w:p w14:paraId="50C2B67E" w14:textId="473A9D90" w:rsidR="00C44961" w:rsidRPr="00C44961" w:rsidRDefault="00C44961" w:rsidP="00C44961">
      <w:r w:rsidRPr="00C44961">
        <w:t>The following section of this report outlines Harr</w:t>
      </w:r>
      <w:r>
        <w:t>ow Council’s progress in 2017/18</w:t>
      </w:r>
      <w:r w:rsidRPr="00C44961">
        <w:t xml:space="preserve"> against the Corporate Equality Objectives. As well as reporting our overall performance </w:t>
      </w:r>
      <w:r>
        <w:t xml:space="preserve">against key performance indicators, </w:t>
      </w:r>
      <w:r w:rsidRPr="00C44961">
        <w:t xml:space="preserve">it </w:t>
      </w:r>
      <w:r>
        <w:t>also</w:t>
      </w:r>
      <w:r w:rsidR="00684CC4">
        <w:t xml:space="preserve"> highligh</w:t>
      </w:r>
      <w:r>
        <w:t>ts some</w:t>
      </w:r>
      <w:r w:rsidR="00684CC4">
        <w:t xml:space="preserve"> examples of the work we are doing to contribute to each objective</w:t>
      </w:r>
      <w:r w:rsidR="00A55C91">
        <w:t xml:space="preserve">. </w:t>
      </w:r>
      <w:r>
        <w:t>This section also includes</w:t>
      </w:r>
      <w:r w:rsidRPr="00C44961">
        <w:t xml:space="preserve"> an overview of how many of the performance indicators</w:t>
      </w:r>
      <w:r>
        <w:t xml:space="preserve"> </w:t>
      </w:r>
      <w:r w:rsidRPr="00C44961">
        <w:t xml:space="preserve">associated with each Corporate Equality Objective </w:t>
      </w:r>
      <w:r>
        <w:t>(listed in appendix 1)</w:t>
      </w:r>
      <w:r w:rsidRPr="00C44961">
        <w:t xml:space="preserve"> were Green, Amber and Red, using the following criteria:</w:t>
      </w:r>
    </w:p>
    <w:p w14:paraId="58DFDF75" w14:textId="77777777" w:rsidR="00C44961" w:rsidRPr="00C44961" w:rsidRDefault="00C44961" w:rsidP="00C44961"/>
    <w:p w14:paraId="1F8C639F" w14:textId="77777777" w:rsidR="00C44961" w:rsidRPr="00C44961" w:rsidRDefault="00C44961" w:rsidP="00C44961">
      <w:pPr>
        <w:rPr>
          <w:b/>
        </w:rPr>
      </w:pPr>
      <w:r w:rsidRPr="00C44961">
        <w:rPr>
          <w:b/>
        </w:rPr>
        <w:t xml:space="preserve">High Green: </w:t>
      </w:r>
      <w:r w:rsidRPr="00C44961">
        <w:rPr>
          <w:b/>
        </w:rPr>
        <w:tab/>
      </w:r>
      <w:r w:rsidRPr="00C44961">
        <w:t>Target exceeded by more than 5%</w:t>
      </w:r>
    </w:p>
    <w:p w14:paraId="67D6959D" w14:textId="77777777" w:rsidR="00C44961" w:rsidRPr="00C44961" w:rsidRDefault="00C44961" w:rsidP="00C44961">
      <w:pPr>
        <w:rPr>
          <w:b/>
        </w:rPr>
      </w:pPr>
      <w:r w:rsidRPr="00C44961">
        <w:rPr>
          <w:b/>
        </w:rPr>
        <w:t xml:space="preserve">Low Green: </w:t>
      </w:r>
      <w:r w:rsidRPr="00C44961">
        <w:rPr>
          <w:b/>
        </w:rPr>
        <w:tab/>
      </w:r>
      <w:r w:rsidRPr="00C44961">
        <w:rPr>
          <w:b/>
        </w:rPr>
        <w:tab/>
      </w:r>
      <w:r w:rsidRPr="00C44961">
        <w:t>Target Met</w:t>
      </w:r>
    </w:p>
    <w:p w14:paraId="2E36937C" w14:textId="77777777" w:rsidR="00C44961" w:rsidRPr="00C44961" w:rsidRDefault="00C44961" w:rsidP="00C44961">
      <w:pPr>
        <w:rPr>
          <w:b/>
        </w:rPr>
      </w:pPr>
      <w:r w:rsidRPr="00C44961">
        <w:rPr>
          <w:b/>
        </w:rPr>
        <w:t xml:space="preserve">Amber: </w:t>
      </w:r>
      <w:r w:rsidRPr="00C44961">
        <w:rPr>
          <w:b/>
        </w:rPr>
        <w:tab/>
      </w:r>
      <w:r w:rsidRPr="00C44961">
        <w:rPr>
          <w:b/>
        </w:rPr>
        <w:tab/>
      </w:r>
      <w:r w:rsidRPr="00C44961">
        <w:t>Target missed by no more than 5%</w:t>
      </w:r>
    </w:p>
    <w:p w14:paraId="7EC4C1A7" w14:textId="77777777" w:rsidR="00C44961" w:rsidRPr="00C44961" w:rsidRDefault="00C44961" w:rsidP="00C44961">
      <w:pPr>
        <w:rPr>
          <w:b/>
        </w:rPr>
      </w:pPr>
      <w:r w:rsidRPr="00C44961">
        <w:rPr>
          <w:b/>
        </w:rPr>
        <w:t>Low Red:</w:t>
      </w:r>
      <w:r w:rsidRPr="00C44961">
        <w:rPr>
          <w:b/>
        </w:rPr>
        <w:tab/>
      </w:r>
      <w:r w:rsidRPr="00C44961">
        <w:rPr>
          <w:b/>
        </w:rPr>
        <w:tab/>
      </w:r>
      <w:r w:rsidRPr="00C44961">
        <w:t>Target missed by 5-10%</w:t>
      </w:r>
    </w:p>
    <w:p w14:paraId="5D461A0E" w14:textId="77777777" w:rsidR="00C44961" w:rsidRPr="00C44961" w:rsidRDefault="00C44961" w:rsidP="00C44961">
      <w:pPr>
        <w:rPr>
          <w:b/>
        </w:rPr>
      </w:pPr>
      <w:r w:rsidRPr="00C44961">
        <w:rPr>
          <w:b/>
        </w:rPr>
        <w:t>High Red:</w:t>
      </w:r>
      <w:r w:rsidRPr="00C44961">
        <w:rPr>
          <w:b/>
        </w:rPr>
        <w:tab/>
      </w:r>
      <w:r w:rsidRPr="00C44961">
        <w:rPr>
          <w:b/>
        </w:rPr>
        <w:tab/>
      </w:r>
      <w:r w:rsidRPr="00C44961">
        <w:t>Target missed by over 10%</w:t>
      </w:r>
    </w:p>
    <w:p w14:paraId="656264A0" w14:textId="77777777" w:rsidR="00C44961" w:rsidRPr="00C44961" w:rsidRDefault="00C44961" w:rsidP="00C44961"/>
    <w:p w14:paraId="0ABB2A4A" w14:textId="77777777" w:rsidR="00C44961" w:rsidRPr="00C44961" w:rsidRDefault="00C44961" w:rsidP="00C44961">
      <w:r w:rsidRPr="00C44961">
        <w:t>Each Equality Objective has been given an overall ‘RAG’ status using the following criteria:</w:t>
      </w:r>
    </w:p>
    <w:p w14:paraId="49521C65" w14:textId="77777777" w:rsidR="00C44961" w:rsidRPr="00C44961" w:rsidRDefault="00C44961" w:rsidP="00C44961"/>
    <w:p w14:paraId="6E181B6A" w14:textId="77777777" w:rsidR="00C44961" w:rsidRPr="00C44961" w:rsidRDefault="00C44961" w:rsidP="00C44961">
      <w:r w:rsidRPr="00C44961">
        <w:t>If two thirds of the indicators within a priority are a particular status then this will determine its status. If not, then the priority status will become Amber.</w:t>
      </w:r>
    </w:p>
    <w:p w14:paraId="635DFF88" w14:textId="77777777" w:rsidR="00C44961" w:rsidRDefault="00C44961" w:rsidP="00A55C91"/>
    <w:p w14:paraId="7A02A7A5" w14:textId="7CC66D5A" w:rsidR="00A55C91" w:rsidRDefault="00684CC4" w:rsidP="00A55C91">
      <w:r>
        <w:t>Overall, progress against delivery of the Equalities Objectives is being reported as green in the Council’s Strategic Performance Report for quarter 4 of 2017/18.</w:t>
      </w:r>
    </w:p>
    <w:p w14:paraId="45375A2A" w14:textId="77777777" w:rsidR="00684CC4" w:rsidRDefault="00684CC4" w:rsidP="00A55C91"/>
    <w:tbl>
      <w:tblPr>
        <w:tblStyle w:val="TableGrid"/>
        <w:tblW w:w="0" w:type="auto"/>
        <w:tblLook w:val="04A0" w:firstRow="1" w:lastRow="0" w:firstColumn="1" w:lastColumn="0" w:noHBand="0" w:noVBand="1"/>
      </w:tblPr>
      <w:tblGrid>
        <w:gridCol w:w="4964"/>
        <w:gridCol w:w="4965"/>
        <w:gridCol w:w="4965"/>
      </w:tblGrid>
      <w:tr w:rsidR="00684CC4" w14:paraId="63E7B28E" w14:textId="77777777" w:rsidTr="00684CC4">
        <w:tc>
          <w:tcPr>
            <w:tcW w:w="4964" w:type="dxa"/>
          </w:tcPr>
          <w:p w14:paraId="743E400D" w14:textId="2DC4BC0E" w:rsidR="00684CC4" w:rsidRPr="00684CC4" w:rsidRDefault="00684CC4" w:rsidP="00A55C91">
            <w:pPr>
              <w:rPr>
                <w:b/>
              </w:rPr>
            </w:pPr>
            <w:r w:rsidRPr="00684CC4">
              <w:rPr>
                <w:b/>
              </w:rPr>
              <w:t>Deliver improvements against our Corporate Equality Objectives</w:t>
            </w:r>
          </w:p>
        </w:tc>
        <w:tc>
          <w:tcPr>
            <w:tcW w:w="4965" w:type="dxa"/>
          </w:tcPr>
          <w:p w14:paraId="5BA7904A" w14:textId="7B413E87" w:rsidR="00684CC4" w:rsidRPr="00684CC4" w:rsidRDefault="00684CC4" w:rsidP="00684CC4">
            <w:r w:rsidRPr="00684CC4">
              <w:t>On the whole, good progress is being made against the</w:t>
            </w:r>
            <w:r>
              <w:t xml:space="preserve"> </w:t>
            </w:r>
            <w:r w:rsidRPr="00684CC4">
              <w:t>Corporate E</w:t>
            </w:r>
            <w:r>
              <w:t xml:space="preserve">quality Objectives Action Plan as </w:t>
            </w:r>
            <w:r w:rsidRPr="00684CC4">
              <w:t>reported to the Corporate Equalities Group in January</w:t>
            </w:r>
            <w:r w:rsidR="007C053C">
              <w:t xml:space="preserve"> 2018</w:t>
            </w:r>
            <w:r w:rsidRPr="00684CC4">
              <w:t>.</w:t>
            </w:r>
          </w:p>
          <w:p w14:paraId="132C3673" w14:textId="77777777" w:rsidR="00684CC4" w:rsidRDefault="00684CC4" w:rsidP="00A55C91"/>
        </w:tc>
        <w:tc>
          <w:tcPr>
            <w:tcW w:w="4965" w:type="dxa"/>
          </w:tcPr>
          <w:p w14:paraId="0EB5E8C6" w14:textId="77777777" w:rsidR="00684CC4" w:rsidRPr="00684CC4" w:rsidRDefault="00684CC4" w:rsidP="00684CC4">
            <w:pPr>
              <w:rPr>
                <w:b/>
                <w:color w:val="00B050"/>
              </w:rPr>
            </w:pPr>
            <w:r w:rsidRPr="00684CC4">
              <w:rPr>
                <w:b/>
                <w:color w:val="00B050"/>
              </w:rPr>
              <w:t>GREEN</w:t>
            </w:r>
          </w:p>
          <w:p w14:paraId="223199D8" w14:textId="77777777" w:rsidR="00684CC4" w:rsidRDefault="00684CC4" w:rsidP="00A55C91"/>
        </w:tc>
      </w:tr>
    </w:tbl>
    <w:p w14:paraId="74C340C4" w14:textId="77777777" w:rsidR="00684CC4" w:rsidRDefault="00684CC4" w:rsidP="00A55C91"/>
    <w:p w14:paraId="1572738C" w14:textId="77777777" w:rsidR="00245459" w:rsidRDefault="00245459" w:rsidP="00C44961">
      <w:pPr>
        <w:jc w:val="both"/>
      </w:pPr>
    </w:p>
    <w:p w14:paraId="6B9ACFFF" w14:textId="77777777" w:rsidR="00A55C91" w:rsidRDefault="00A55C91" w:rsidP="00A55C91">
      <w:pPr>
        <w:rPr>
          <w:color w:val="3E007A"/>
          <w:sz w:val="28"/>
          <w:szCs w:val="28"/>
        </w:rPr>
      </w:pPr>
      <w:r>
        <w:rPr>
          <w:color w:val="FF6600"/>
          <w:sz w:val="32"/>
          <w:szCs w:val="32"/>
        </w:rPr>
        <w:t xml:space="preserve">Objective 1 – </w:t>
      </w:r>
      <w:r w:rsidRPr="00663450">
        <w:rPr>
          <w:color w:val="3E007A"/>
          <w:sz w:val="28"/>
          <w:szCs w:val="28"/>
        </w:rPr>
        <w:t>An inclusive workforce that feels valued, respected and reflects our community</w:t>
      </w:r>
    </w:p>
    <w:p w14:paraId="2D2A5D54" w14:textId="77777777" w:rsidR="00240018" w:rsidRDefault="00240018" w:rsidP="00240018"/>
    <w:tbl>
      <w:tblPr>
        <w:tblW w:w="2992" w:type="dxa"/>
        <w:tblInd w:w="93" w:type="dxa"/>
        <w:tblLook w:val="04A0" w:firstRow="1" w:lastRow="0" w:firstColumn="1" w:lastColumn="0" w:noHBand="0" w:noVBand="1"/>
      </w:tblPr>
      <w:tblGrid>
        <w:gridCol w:w="2000"/>
        <w:gridCol w:w="992"/>
      </w:tblGrid>
      <w:tr w:rsidR="00C44961" w:rsidRPr="00C44961" w14:paraId="1A22CE9E" w14:textId="77777777" w:rsidTr="00C44961">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1CA52DBE" w14:textId="77777777" w:rsidR="00C44961" w:rsidRPr="00C44961" w:rsidRDefault="00C44961" w:rsidP="00C44961">
            <w:r w:rsidRPr="00C44961">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07D89041" w14:textId="23758F12" w:rsidR="00C44961" w:rsidRPr="00C44961" w:rsidRDefault="00C44961" w:rsidP="00C44961">
            <w:r w:rsidRPr="00C44961">
              <w:t>5</w:t>
            </w:r>
          </w:p>
        </w:tc>
      </w:tr>
      <w:tr w:rsidR="00C44961" w:rsidRPr="00C44961" w14:paraId="4CF8859C" w14:textId="77777777" w:rsidTr="00C44961">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445D39AF" w14:textId="77777777" w:rsidR="00C44961" w:rsidRPr="00C44961" w:rsidRDefault="00C44961" w:rsidP="00C44961">
            <w:r w:rsidRPr="00C44961">
              <w:lastRenderedPageBreak/>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477ACC32" w14:textId="112A40C2" w:rsidR="00C44961" w:rsidRPr="00C44961" w:rsidRDefault="00C44961" w:rsidP="00C44961">
            <w:r w:rsidRPr="00C44961">
              <w:t>1</w:t>
            </w:r>
          </w:p>
        </w:tc>
      </w:tr>
      <w:tr w:rsidR="00C44961" w:rsidRPr="00C44961" w14:paraId="2188E746" w14:textId="77777777" w:rsidTr="00C44961">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52A9DA4" w14:textId="77777777" w:rsidR="00C44961" w:rsidRPr="00C44961" w:rsidRDefault="00C44961" w:rsidP="00C44961">
            <w:r w:rsidRPr="00C44961">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7EEE92F6" w14:textId="77777777" w:rsidR="00C44961" w:rsidRPr="00C44961" w:rsidRDefault="00C44961" w:rsidP="00C44961">
            <w:r w:rsidRPr="00C44961">
              <w:t>4</w:t>
            </w:r>
          </w:p>
        </w:tc>
      </w:tr>
      <w:tr w:rsidR="00C44961" w:rsidRPr="00C44961" w14:paraId="242060D1" w14:textId="77777777" w:rsidTr="00C44961">
        <w:trPr>
          <w:trHeight w:val="155"/>
        </w:trPr>
        <w:tc>
          <w:tcPr>
            <w:tcW w:w="2992" w:type="dxa"/>
            <w:gridSpan w:val="2"/>
            <w:tcBorders>
              <w:top w:val="nil"/>
              <w:left w:val="single" w:sz="4" w:space="0" w:color="auto"/>
              <w:bottom w:val="single" w:sz="4" w:space="0" w:color="auto"/>
              <w:right w:val="single" w:sz="4" w:space="0" w:color="auto"/>
            </w:tcBorders>
            <w:noWrap/>
            <w:vAlign w:val="bottom"/>
            <w:hideMark/>
          </w:tcPr>
          <w:p w14:paraId="1C1D1E4E" w14:textId="77777777" w:rsidR="00C44961" w:rsidRPr="00C44961" w:rsidRDefault="00C44961" w:rsidP="00C44961">
            <w:r w:rsidRPr="00C44961">
              <w:t> </w:t>
            </w:r>
          </w:p>
        </w:tc>
      </w:tr>
      <w:tr w:rsidR="00C44961" w:rsidRPr="00C44961" w14:paraId="4F6D5AE9" w14:textId="77777777" w:rsidTr="00C44961">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092EFA89" w14:textId="77777777" w:rsidR="00C44961" w:rsidRPr="00C44961" w:rsidRDefault="00C44961" w:rsidP="00C44961">
            <w:r w:rsidRPr="00C44961">
              <w:t>Overall Status</w:t>
            </w:r>
          </w:p>
        </w:tc>
        <w:tc>
          <w:tcPr>
            <w:tcW w:w="992" w:type="dxa"/>
            <w:tcBorders>
              <w:top w:val="nil"/>
              <w:left w:val="nil"/>
              <w:bottom w:val="single" w:sz="4" w:space="0" w:color="auto"/>
              <w:right w:val="single" w:sz="4" w:space="0" w:color="auto"/>
            </w:tcBorders>
            <w:noWrap/>
            <w:vAlign w:val="bottom"/>
            <w:hideMark/>
          </w:tcPr>
          <w:p w14:paraId="6A4E0D9E" w14:textId="77777777" w:rsidR="00C44961" w:rsidRPr="00C44961" w:rsidRDefault="00C44961" w:rsidP="00C44961">
            <w:pPr>
              <w:rPr>
                <w:b/>
              </w:rPr>
            </w:pPr>
            <w:r w:rsidRPr="00C44961">
              <w:rPr>
                <w:b/>
              </w:rPr>
              <w:t>A</w:t>
            </w:r>
          </w:p>
        </w:tc>
      </w:tr>
    </w:tbl>
    <w:p w14:paraId="61ECA00F" w14:textId="77777777" w:rsidR="00C44961" w:rsidRDefault="00C44961" w:rsidP="00A55C91">
      <w:pPr>
        <w:rPr>
          <w:highlight w:val="yellow"/>
        </w:rPr>
      </w:pPr>
    </w:p>
    <w:p w14:paraId="4D4B2460" w14:textId="56574528" w:rsidR="001B2044" w:rsidRDefault="007A49C8" w:rsidP="00A55C91">
      <w:r w:rsidRPr="00DB18CD">
        <w:t>It is a key priority that our workforce reflects or community</w:t>
      </w:r>
      <w:r>
        <w:t>.</w:t>
      </w:r>
      <w:r w:rsidRPr="00DB18CD">
        <w:t xml:space="preserve"> </w:t>
      </w:r>
      <w:r w:rsidR="003F2EC1" w:rsidRPr="00C44268">
        <w:t>We continue to try to</w:t>
      </w:r>
      <w:r w:rsidR="00026B85" w:rsidRPr="00C44268">
        <w:t xml:space="preserve"> </w:t>
      </w:r>
      <w:r w:rsidR="0072336C" w:rsidRPr="00C44268">
        <w:t>improve</w:t>
      </w:r>
      <w:r w:rsidR="00C44268">
        <w:t xml:space="preserve"> our understanding of</w:t>
      </w:r>
      <w:r w:rsidR="0072336C" w:rsidRPr="00C44268">
        <w:t xml:space="preserve"> the</w:t>
      </w:r>
      <w:r w:rsidR="00026B85" w:rsidRPr="00C44268">
        <w:t xml:space="preserve"> profile of the workforce as a substantial number of staff </w:t>
      </w:r>
      <w:r w:rsidR="00C44268" w:rsidRPr="00C44268">
        <w:t>still do</w:t>
      </w:r>
      <w:r w:rsidR="00C44268">
        <w:t xml:space="preserve"> not provide</w:t>
      </w:r>
      <w:r w:rsidR="00026B85" w:rsidRPr="00C44268">
        <w:t xml:space="preserve"> any social identity information and in particular</w:t>
      </w:r>
      <w:r w:rsidR="00485F32" w:rsidRPr="00C44268">
        <w:t xml:space="preserve"> in respect of</w:t>
      </w:r>
      <w:r w:rsidR="00026B85" w:rsidRPr="00C44268">
        <w:t xml:space="preserve"> </w:t>
      </w:r>
      <w:r w:rsidR="00C44268" w:rsidRPr="00C44268">
        <w:t>religion</w:t>
      </w:r>
      <w:r w:rsidR="00026B85" w:rsidRPr="00C44268">
        <w:t xml:space="preserve"> and sexual </w:t>
      </w:r>
      <w:r w:rsidR="00AC5F69" w:rsidRPr="00C44268">
        <w:t>orientation</w:t>
      </w:r>
      <w:r w:rsidR="00026B85" w:rsidRPr="00C44268">
        <w:t xml:space="preserve">. </w:t>
      </w:r>
      <w:r>
        <w:t>S</w:t>
      </w:r>
      <w:r w:rsidRPr="00C44268">
        <w:t xml:space="preserve">teps are being taken to acquire this information from staff </w:t>
      </w:r>
      <w:r w:rsidR="00617150" w:rsidRPr="00C44268">
        <w:t>that</w:t>
      </w:r>
      <w:r w:rsidRPr="00C44268">
        <w:t xml:space="preserve"> </w:t>
      </w:r>
      <w:proofErr w:type="gramStart"/>
      <w:r w:rsidRPr="00C44268">
        <w:t>do</w:t>
      </w:r>
      <w:proofErr w:type="gramEnd"/>
      <w:r w:rsidRPr="00C44268">
        <w:t xml:space="preserve"> not have immediate access to IT.</w:t>
      </w:r>
      <w:r>
        <w:t xml:space="preserve"> </w:t>
      </w:r>
      <w:r w:rsidR="00C44268">
        <w:t>The Council is doing well with regards to the number of BAME staff and female top earners</w:t>
      </w:r>
      <w:r>
        <w:t xml:space="preserve"> thanks to targeted recruitment briefs, development and succession plans for staff, mentoring and coaching and blind recruitment. However, needs to continue to focus on improving the percentage of disabled employees, employees under 25 and the completion of the mandatory e-learning for new </w:t>
      </w:r>
      <w:r w:rsidR="002D523B">
        <w:t>starters where w</w:t>
      </w:r>
      <w:r w:rsidR="002D523B">
        <w:rPr>
          <w:szCs w:val="28"/>
        </w:rPr>
        <w:t>e are planning to undertake</w:t>
      </w:r>
      <w:r w:rsidR="002D523B" w:rsidRPr="00BE1B4B">
        <w:rPr>
          <w:szCs w:val="28"/>
        </w:rPr>
        <w:t xml:space="preserve"> team E</w:t>
      </w:r>
      <w:r w:rsidR="002D523B">
        <w:rPr>
          <w:szCs w:val="28"/>
        </w:rPr>
        <w:t>-</w:t>
      </w:r>
      <w:r w:rsidR="002D523B" w:rsidRPr="00BE1B4B">
        <w:rPr>
          <w:szCs w:val="28"/>
        </w:rPr>
        <w:t xml:space="preserve">Learning and face-to-face sessions </w:t>
      </w:r>
      <w:r w:rsidR="002D523B">
        <w:rPr>
          <w:szCs w:val="28"/>
        </w:rPr>
        <w:t>in</w:t>
      </w:r>
      <w:r w:rsidR="002D523B" w:rsidRPr="00BE1B4B">
        <w:rPr>
          <w:szCs w:val="28"/>
        </w:rPr>
        <w:t xml:space="preserve"> 2018/19.</w:t>
      </w:r>
    </w:p>
    <w:p w14:paraId="0ADB3B1C" w14:textId="77777777" w:rsidR="009F0442" w:rsidRPr="00DB18CD" w:rsidRDefault="009F0442" w:rsidP="00A55C91"/>
    <w:p w14:paraId="177757DF" w14:textId="6D9E8952" w:rsidR="009F0442" w:rsidRPr="00D36653" w:rsidRDefault="007A49C8" w:rsidP="00A55C91">
      <w:pPr>
        <w:rPr>
          <w:color w:val="8064A2" w:themeColor="accent4"/>
        </w:rPr>
      </w:pPr>
      <w:r>
        <w:rPr>
          <w:color w:val="8064A2" w:themeColor="accent4"/>
        </w:rPr>
        <w:t>Reducing the stigma of mental health in the workplace</w:t>
      </w:r>
    </w:p>
    <w:p w14:paraId="5872D06A" w14:textId="77777777" w:rsidR="00362269" w:rsidRDefault="00AB1058" w:rsidP="00A55C91">
      <w:r w:rsidRPr="00DB18CD">
        <w:t>In partnership with Public Health</w:t>
      </w:r>
      <w:r w:rsidR="00362269">
        <w:t>,</w:t>
      </w:r>
      <w:r w:rsidRPr="00DB18CD">
        <w:t xml:space="preserve"> a new course </w:t>
      </w:r>
      <w:r w:rsidRPr="00DB18CD">
        <w:rPr>
          <w:i/>
        </w:rPr>
        <w:t xml:space="preserve">‘Being a </w:t>
      </w:r>
      <w:proofErr w:type="gramStart"/>
      <w:r w:rsidRPr="00DB18CD">
        <w:rPr>
          <w:i/>
        </w:rPr>
        <w:t>mindful</w:t>
      </w:r>
      <w:proofErr w:type="gramEnd"/>
      <w:r w:rsidRPr="00DB18CD">
        <w:rPr>
          <w:i/>
        </w:rPr>
        <w:t xml:space="preserve"> manager’ </w:t>
      </w:r>
      <w:r w:rsidRPr="00DB18CD">
        <w:t>was launched</w:t>
      </w:r>
      <w:r w:rsidR="00634B16" w:rsidRPr="00DB18CD">
        <w:t xml:space="preserve"> to support this objective. </w:t>
      </w:r>
    </w:p>
    <w:p w14:paraId="47B25A82" w14:textId="1DB77EC4" w:rsidR="00362269" w:rsidRDefault="00362269" w:rsidP="00362269">
      <w:r>
        <w:t xml:space="preserve">A workshop was delivered by Thrive London in January was held at the Civic Centre. The purpose of the workshop was to look at how the six principles of Thrive London can be achieved. The workshop was attended by approximately 50 </w:t>
      </w:r>
      <w:r w:rsidR="00281982">
        <w:t>residents and community groups</w:t>
      </w:r>
      <w:r>
        <w:t xml:space="preserve">, with some excellent ideas </w:t>
      </w:r>
      <w:r w:rsidR="00D36653">
        <w:t xml:space="preserve">on </w:t>
      </w:r>
      <w:r>
        <w:t xml:space="preserve">how </w:t>
      </w:r>
      <w:r w:rsidR="00D36653">
        <w:t xml:space="preserve">to achieve Thrive’s principles. </w:t>
      </w:r>
      <w:r w:rsidRPr="00D36653">
        <w:rPr>
          <w:bCs/>
        </w:rPr>
        <w:t>The next steps</w:t>
      </w:r>
      <w:r w:rsidRPr="00D36653">
        <w:t xml:space="preserve"> are for a borough wide Action Plan for this year to be developed, which will include initiatives, projects and events being</w:t>
      </w:r>
      <w:r>
        <w:t xml:space="preserve"> delivered by partners, stakeholders and the VCS. So far </w:t>
      </w:r>
      <w:r w:rsidR="00AC5F69">
        <w:t>events</w:t>
      </w:r>
      <w:r>
        <w:t xml:space="preserve"> have included a workshop on how to cope with stress hosted by Mind in Harrow to mark Mental Health Awareness Week, story telling at Harrow libraries and the promotion of the </w:t>
      </w:r>
      <w:r w:rsidRPr="00DB18CD">
        <w:rPr>
          <w:i/>
        </w:rPr>
        <w:t>‘Being a mindful manager’</w:t>
      </w:r>
      <w:r w:rsidR="00D36653">
        <w:rPr>
          <w:i/>
        </w:rPr>
        <w:t xml:space="preserve"> </w:t>
      </w:r>
      <w:r w:rsidR="00D36653" w:rsidRPr="00D36653">
        <w:t>course</w:t>
      </w:r>
      <w:r w:rsidR="00D36653">
        <w:t xml:space="preserve">. </w:t>
      </w:r>
      <w:r w:rsidRPr="00DB18CD">
        <w:t>There is also a corporate offer to support managers to deal with staff in times of emotional and mental health.</w:t>
      </w:r>
    </w:p>
    <w:p w14:paraId="20470B90" w14:textId="77777777" w:rsidR="00D36653" w:rsidRDefault="00D36653" w:rsidP="00362269"/>
    <w:p w14:paraId="60936116" w14:textId="009B87A8" w:rsidR="00362269" w:rsidRPr="00B529F1" w:rsidRDefault="00281982" w:rsidP="00362269">
      <w:pPr>
        <w:rPr>
          <w:color w:val="8064A2" w:themeColor="accent4"/>
        </w:rPr>
      </w:pPr>
      <w:r>
        <w:rPr>
          <w:color w:val="8064A2" w:themeColor="accent4"/>
        </w:rPr>
        <w:t>Stonewall</w:t>
      </w:r>
      <w:r w:rsidR="00B529F1" w:rsidRPr="00B529F1">
        <w:rPr>
          <w:color w:val="8064A2" w:themeColor="accent4"/>
        </w:rPr>
        <w:t xml:space="preserve"> Workplace </w:t>
      </w:r>
      <w:r>
        <w:rPr>
          <w:color w:val="8064A2" w:themeColor="accent4"/>
        </w:rPr>
        <w:t xml:space="preserve">Equality </w:t>
      </w:r>
      <w:r w:rsidR="00B529F1" w:rsidRPr="00B529F1">
        <w:rPr>
          <w:color w:val="8064A2" w:themeColor="accent4"/>
        </w:rPr>
        <w:t>Index</w:t>
      </w:r>
    </w:p>
    <w:p w14:paraId="110077AA" w14:textId="5A3FB352" w:rsidR="00634B16" w:rsidRDefault="0072336C" w:rsidP="00A55C91">
      <w:r>
        <w:t>In 2017</w:t>
      </w:r>
      <w:r w:rsidR="00785967">
        <w:t>, we were ranked at 154</w:t>
      </w:r>
      <w:r w:rsidR="00634B16" w:rsidRPr="00DB18CD">
        <w:t xml:space="preserve"> in the Stonewalls Workplace Index which we are pursuing in order to ensure we are as fai</w:t>
      </w:r>
      <w:r w:rsidR="00B529F1">
        <w:t xml:space="preserve">r, </w:t>
      </w:r>
      <w:r w:rsidR="00406799" w:rsidRPr="00DB18CD">
        <w:t>inclusive and LGBT friendly in the execution of our HR policies. We are currently in the process of d</w:t>
      </w:r>
      <w:r w:rsidR="00281982">
        <w:t>eveloping our submission to Stonewall</w:t>
      </w:r>
      <w:r w:rsidR="00406799" w:rsidRPr="00DB18CD">
        <w:t>.</w:t>
      </w:r>
      <w:r w:rsidR="000D6365">
        <w:t xml:space="preserve"> </w:t>
      </w:r>
      <w:r w:rsidR="00AC5F69">
        <w:t>The process for this year’s submission has now been launched by the senior officer</w:t>
      </w:r>
      <w:r w:rsidR="00281982">
        <w:t xml:space="preserve"> – Paul Hewitt and member champion – Cllr Adam Swersky</w:t>
      </w:r>
      <w:r w:rsidR="00AC5F69">
        <w:t xml:space="preserve">, who have circulated Stonewalls feedback report to a cross-council virtual working group made up of officers who will be responsible </w:t>
      </w:r>
      <w:r w:rsidR="00281982">
        <w:t xml:space="preserve">for providing evidence for the 2018 </w:t>
      </w:r>
      <w:r w:rsidR="00AC5F69">
        <w:t>submission.</w:t>
      </w:r>
    </w:p>
    <w:p w14:paraId="59FB7319" w14:textId="77777777" w:rsidR="000D6365" w:rsidRDefault="000D6365" w:rsidP="00A55C91"/>
    <w:p w14:paraId="1E7B64B8" w14:textId="77777777" w:rsidR="00B529F1" w:rsidRDefault="00B529F1" w:rsidP="00A55C91">
      <w:pPr>
        <w:rPr>
          <w:color w:val="8064A2" w:themeColor="accent4"/>
        </w:rPr>
      </w:pPr>
      <w:r w:rsidRPr="00B529F1">
        <w:rPr>
          <w:color w:val="8064A2" w:themeColor="accent4"/>
        </w:rPr>
        <w:lastRenderedPageBreak/>
        <w:t>Disability Working Group</w:t>
      </w:r>
    </w:p>
    <w:p w14:paraId="7ED3AA20" w14:textId="7AAE4FCF" w:rsidR="00B529F1" w:rsidRPr="00DB18CD" w:rsidRDefault="000D6365" w:rsidP="00B529F1">
      <w:r>
        <w:t>T</w:t>
      </w:r>
      <w:r w:rsidR="002D523B">
        <w:t>he Council has set up a Disability W</w:t>
      </w:r>
      <w:r w:rsidR="00363B3F" w:rsidRPr="00DB18CD">
        <w:t>orking Gro</w:t>
      </w:r>
      <w:r w:rsidR="00B26743" w:rsidRPr="00DB18CD">
        <w:t xml:space="preserve">up </w:t>
      </w:r>
      <w:r w:rsidR="002D523B">
        <w:t xml:space="preserve">this year </w:t>
      </w:r>
      <w:r w:rsidR="00B26743" w:rsidRPr="00DB18CD">
        <w:t xml:space="preserve">to address a number of issues that were raised by staff including </w:t>
      </w:r>
      <w:r w:rsidR="00AC5F69" w:rsidRPr="00DB18CD">
        <w:t>accessibility</w:t>
      </w:r>
      <w:r w:rsidR="00B529F1">
        <w:t xml:space="preserve"> to facilities such as toilets, IT issues and </w:t>
      </w:r>
      <w:r w:rsidR="00AC5F69">
        <w:t>compatibility</w:t>
      </w:r>
      <w:r w:rsidR="00B529F1">
        <w:t xml:space="preserve"> with specific software. </w:t>
      </w:r>
      <w:r w:rsidR="00B26743" w:rsidRPr="00DB18CD">
        <w:t>In March 2018, radar locks were installed to three toilets.</w:t>
      </w:r>
      <w:r w:rsidR="00B529F1">
        <w:t xml:space="preserve"> Parking was another issue</w:t>
      </w:r>
      <w:r w:rsidR="00B529F1" w:rsidRPr="00DB18CD">
        <w:t xml:space="preserve"> being addressed with plans to </w:t>
      </w:r>
      <w:r w:rsidR="00B529F1">
        <w:t>paint yel</w:t>
      </w:r>
      <w:r w:rsidR="00AA7635">
        <w:t xml:space="preserve">low lines </w:t>
      </w:r>
      <w:r w:rsidR="00B529F1">
        <w:t xml:space="preserve">around the two </w:t>
      </w:r>
      <w:r w:rsidR="00B529F1" w:rsidRPr="00DB18CD">
        <w:t xml:space="preserve">disabled parking spaces next to the </w:t>
      </w:r>
      <w:r w:rsidR="00AA7635" w:rsidRPr="00DB18CD">
        <w:t>council’s</w:t>
      </w:r>
      <w:r w:rsidR="00B529F1" w:rsidRPr="00DB18CD">
        <w:t xml:space="preserve"> canteen that is constantly misused. </w:t>
      </w:r>
    </w:p>
    <w:p w14:paraId="1932922D" w14:textId="77777777" w:rsidR="00B529F1" w:rsidRDefault="00B529F1" w:rsidP="00B26743"/>
    <w:p w14:paraId="441E8843" w14:textId="77777777" w:rsidR="00B26743" w:rsidRPr="00DB18CD" w:rsidRDefault="00B26743" w:rsidP="00B26743">
      <w:r w:rsidRPr="00DB18CD">
        <w:t>The group is now looking at a further range of issues that effect staff. The Two Tick Disability Scheme has been replaced with the Disability Confident Scheme and in April 2018, the council signed up to Level 1 and the disability confident logo and scheme information</w:t>
      </w:r>
      <w:r w:rsidR="00B529F1">
        <w:t xml:space="preserve"> </w:t>
      </w:r>
      <w:r w:rsidR="00AA7635">
        <w:t xml:space="preserve">has </w:t>
      </w:r>
      <w:r w:rsidR="00AA7635" w:rsidRPr="00DB18CD">
        <w:t>started</w:t>
      </w:r>
      <w:r w:rsidRPr="00DB18CD">
        <w:t xml:space="preserve"> to be used on the </w:t>
      </w:r>
      <w:r w:rsidR="00AA7635" w:rsidRPr="00DB18CD">
        <w:t>council’s</w:t>
      </w:r>
      <w:r w:rsidRPr="00DB18CD">
        <w:t xml:space="preserve"> recruitment pages from June onwards. The group is also working on putting on further </w:t>
      </w:r>
      <w:r w:rsidR="00AA7635" w:rsidRPr="00DB18CD">
        <w:t>Disability</w:t>
      </w:r>
      <w:r w:rsidRPr="00DB18CD">
        <w:t xml:space="preserve"> Awareness training and there are plans in place to link it to the Mental Health Action Plan</w:t>
      </w:r>
      <w:r w:rsidR="00B529F1">
        <w:t>.</w:t>
      </w:r>
    </w:p>
    <w:p w14:paraId="237AFFE7" w14:textId="77777777" w:rsidR="00F53852" w:rsidRDefault="00F53852" w:rsidP="00BE1B4B">
      <w:pPr>
        <w:rPr>
          <w:bCs/>
          <w:iCs/>
          <w:color w:val="7030A0"/>
          <w:szCs w:val="28"/>
        </w:rPr>
      </w:pPr>
    </w:p>
    <w:p w14:paraId="7B3F85E5" w14:textId="6BAB2B50" w:rsidR="00BE1B4B" w:rsidRPr="00BE1B4B" w:rsidRDefault="00784B28" w:rsidP="00BE1B4B">
      <w:pPr>
        <w:rPr>
          <w:color w:val="7030A0"/>
          <w:szCs w:val="28"/>
        </w:rPr>
      </w:pPr>
      <w:r>
        <w:rPr>
          <w:color w:val="7030A0"/>
          <w:szCs w:val="28"/>
        </w:rPr>
        <w:t>2017</w:t>
      </w:r>
      <w:r w:rsidR="00F53852">
        <w:rPr>
          <w:color w:val="7030A0"/>
          <w:szCs w:val="28"/>
        </w:rPr>
        <w:t xml:space="preserve"> </w:t>
      </w:r>
      <w:r>
        <w:rPr>
          <w:color w:val="7030A0"/>
          <w:szCs w:val="28"/>
        </w:rPr>
        <w:t>g</w:t>
      </w:r>
      <w:r w:rsidR="00BE1B4B" w:rsidRPr="00BE1B4B">
        <w:rPr>
          <w:color w:val="7030A0"/>
          <w:szCs w:val="28"/>
        </w:rPr>
        <w:t xml:space="preserve">ender pay gap. </w:t>
      </w:r>
    </w:p>
    <w:p w14:paraId="086E6DB9" w14:textId="2049F7EF" w:rsidR="00BE1B4B" w:rsidRPr="002D523B" w:rsidRDefault="00784B28" w:rsidP="00BE1B4B">
      <w:pPr>
        <w:rPr>
          <w:szCs w:val="28"/>
        </w:rPr>
      </w:pPr>
      <w:r>
        <w:rPr>
          <w:szCs w:val="28"/>
          <w:lang w:val="en-US"/>
        </w:rPr>
        <w:t xml:space="preserve">In 2017 all employers with 250 or more staff were required to publish statutory gender pay gap calculations for the first time. </w:t>
      </w:r>
      <w:r w:rsidR="00F53852" w:rsidRPr="00BE1B4B">
        <w:rPr>
          <w:szCs w:val="28"/>
          <w:lang w:val="en-US"/>
        </w:rPr>
        <w:t xml:space="preserve">The gender pay gap </w:t>
      </w:r>
      <w:r w:rsidR="002D523B">
        <w:rPr>
          <w:szCs w:val="28"/>
          <w:lang w:val="en-US"/>
        </w:rPr>
        <w:t>compares</w:t>
      </w:r>
      <w:r w:rsidR="00F53852" w:rsidRPr="00BE1B4B">
        <w:rPr>
          <w:szCs w:val="28"/>
          <w:lang w:val="en-US"/>
        </w:rPr>
        <w:t xml:space="preserve"> the average (mean) and median (central point) of all male and female</w:t>
      </w:r>
      <w:r w:rsidR="002D523B">
        <w:rPr>
          <w:szCs w:val="28"/>
          <w:lang w:val="en-US"/>
        </w:rPr>
        <w:t xml:space="preserve"> hourly pay rates.</w:t>
      </w:r>
      <w:r w:rsidR="00BE1B4B" w:rsidRPr="00BE1B4B">
        <w:rPr>
          <w:szCs w:val="28"/>
        </w:rPr>
        <w:t>The presence of a gender pay gap does not imply that there is an equal pay issue</w:t>
      </w:r>
      <w:r w:rsidR="002D523B">
        <w:rPr>
          <w:szCs w:val="28"/>
        </w:rPr>
        <w:t xml:space="preserve">. </w:t>
      </w:r>
      <w:r w:rsidR="00BE1B4B" w:rsidRPr="00BE1B4B">
        <w:rPr>
          <w:szCs w:val="28"/>
        </w:rPr>
        <w:t>Equal Pay is the right for men and women to be paid the same, for the same, or equivalent, work or work of equal value.</w:t>
      </w:r>
      <w:r w:rsidR="00F53852">
        <w:rPr>
          <w:szCs w:val="28"/>
        </w:rPr>
        <w:t xml:space="preserve"> </w:t>
      </w:r>
      <w:r w:rsidR="002D523B">
        <w:rPr>
          <w:szCs w:val="28"/>
        </w:rPr>
        <w:t>T</w:t>
      </w:r>
      <w:r w:rsidR="002D523B" w:rsidRPr="00BE1B4B">
        <w:rPr>
          <w:szCs w:val="28"/>
          <w:lang w:val="en-US"/>
        </w:rPr>
        <w:t xml:space="preserve">he </w:t>
      </w:r>
      <w:r w:rsidR="002D523B">
        <w:rPr>
          <w:szCs w:val="28"/>
          <w:lang w:val="en-US"/>
        </w:rPr>
        <w:t xml:space="preserve">pay gap </w:t>
      </w:r>
      <w:r w:rsidR="002D523B" w:rsidRPr="00BE1B4B">
        <w:rPr>
          <w:szCs w:val="28"/>
          <w:lang w:val="en-US"/>
        </w:rPr>
        <w:t xml:space="preserve">value for female employees </w:t>
      </w:r>
      <w:r w:rsidR="002D523B">
        <w:rPr>
          <w:szCs w:val="28"/>
          <w:lang w:val="en-US"/>
        </w:rPr>
        <w:t xml:space="preserve">in Harrow Council </w:t>
      </w:r>
      <w:r w:rsidR="002D523B" w:rsidRPr="00BE1B4B">
        <w:rPr>
          <w:szCs w:val="28"/>
          <w:lang w:val="en-US"/>
        </w:rPr>
        <w:t>is greater than that for male employees</w:t>
      </w:r>
      <w:r>
        <w:rPr>
          <w:szCs w:val="28"/>
          <w:lang w:val="en-US"/>
        </w:rPr>
        <w:t xml:space="preserve"> with the mean hourly rate for women 3.88% higher than men’s and the median women’s pay rate 13.3% higher than men’s</w:t>
      </w:r>
      <w:r w:rsidR="002D523B" w:rsidRPr="00BE1B4B">
        <w:rPr>
          <w:szCs w:val="28"/>
        </w:rPr>
        <w:t>.</w:t>
      </w:r>
      <w:r w:rsidR="00BE1B4B" w:rsidRPr="00BE1B4B">
        <w:rPr>
          <w:szCs w:val="28"/>
          <w:lang w:val="en-US"/>
        </w:rPr>
        <w:t>The reasons for th</w:t>
      </w:r>
      <w:r w:rsidR="00F53852">
        <w:rPr>
          <w:szCs w:val="28"/>
          <w:lang w:val="en-US"/>
        </w:rPr>
        <w:t>e gender pay gap</w:t>
      </w:r>
      <w:r w:rsidR="00BE1B4B" w:rsidRPr="00BE1B4B">
        <w:rPr>
          <w:szCs w:val="28"/>
          <w:lang w:val="en-US"/>
        </w:rPr>
        <w:t xml:space="preserve"> at Harrow Council are:</w:t>
      </w:r>
    </w:p>
    <w:p w14:paraId="0F73FA39" w14:textId="749D0C63" w:rsidR="00BE1B4B" w:rsidRPr="00BE1B4B" w:rsidRDefault="00BE1B4B" w:rsidP="00BE1B4B">
      <w:pPr>
        <w:numPr>
          <w:ilvl w:val="0"/>
          <w:numId w:val="7"/>
        </w:numPr>
        <w:rPr>
          <w:szCs w:val="28"/>
          <w:lang w:val="en-US"/>
        </w:rPr>
      </w:pPr>
      <w:r w:rsidRPr="00BE1B4B">
        <w:rPr>
          <w:szCs w:val="28"/>
          <w:lang w:val="en-US"/>
        </w:rPr>
        <w:t xml:space="preserve">There is a higher % of women in the top quartile (62%), the upper middle quartile (70%) and the lower middle quartile (68%) </w:t>
      </w:r>
      <w:r w:rsidR="002D523B">
        <w:rPr>
          <w:szCs w:val="28"/>
          <w:lang w:val="en-US"/>
        </w:rPr>
        <w:t>of the workforce.  Compared to the</w:t>
      </w:r>
      <w:r w:rsidRPr="00BE1B4B">
        <w:rPr>
          <w:szCs w:val="28"/>
          <w:lang w:val="en-US"/>
        </w:rPr>
        <w:t xml:space="preserve"> workforce</w:t>
      </w:r>
      <w:r w:rsidR="002D523B">
        <w:rPr>
          <w:szCs w:val="28"/>
          <w:lang w:val="en-US"/>
        </w:rPr>
        <w:t xml:space="preserve"> as a whole women in these three bands account for 61.5% and men 38.5%</w:t>
      </w:r>
      <w:r w:rsidRPr="00BE1B4B">
        <w:rPr>
          <w:szCs w:val="28"/>
          <w:lang w:val="en-US"/>
        </w:rPr>
        <w:t>.</w:t>
      </w:r>
    </w:p>
    <w:p w14:paraId="6F531008" w14:textId="42776613" w:rsidR="00BE1B4B" w:rsidRPr="00BE1B4B" w:rsidRDefault="00BE1B4B" w:rsidP="00BE1B4B">
      <w:pPr>
        <w:numPr>
          <w:ilvl w:val="0"/>
          <w:numId w:val="7"/>
        </w:numPr>
        <w:rPr>
          <w:szCs w:val="28"/>
        </w:rPr>
      </w:pPr>
      <w:r w:rsidRPr="00BE1B4B">
        <w:rPr>
          <w:szCs w:val="28"/>
        </w:rPr>
        <w:t>There is a lower % of women in the bottom quartile</w:t>
      </w:r>
      <w:r w:rsidR="00784B28">
        <w:rPr>
          <w:szCs w:val="28"/>
        </w:rPr>
        <w:t xml:space="preserve"> of the workforce</w:t>
      </w:r>
      <w:r w:rsidRPr="00BE1B4B">
        <w:rPr>
          <w:szCs w:val="28"/>
        </w:rPr>
        <w:t xml:space="preserve"> (46%), when compared to the whole workforce, (61.5% women, 38.5% men)</w:t>
      </w:r>
    </w:p>
    <w:p w14:paraId="7934F236" w14:textId="77777777" w:rsidR="009F0442" w:rsidRDefault="009F0442" w:rsidP="00A55C91">
      <w:pPr>
        <w:rPr>
          <w:color w:val="3E007A"/>
          <w:sz w:val="28"/>
          <w:szCs w:val="28"/>
        </w:rPr>
      </w:pPr>
    </w:p>
    <w:p w14:paraId="7F3CEDCF" w14:textId="3767AB18" w:rsidR="00A55C91" w:rsidRDefault="00A55C91" w:rsidP="00A55C91">
      <w:pPr>
        <w:rPr>
          <w:color w:val="3E007A"/>
          <w:sz w:val="28"/>
          <w:szCs w:val="28"/>
        </w:rPr>
      </w:pPr>
      <w:r>
        <w:rPr>
          <w:color w:val="FF6600"/>
          <w:sz w:val="32"/>
          <w:szCs w:val="32"/>
        </w:rPr>
        <w:t>Objecti</w:t>
      </w:r>
      <w:r w:rsidR="00D04F2B">
        <w:rPr>
          <w:color w:val="FF6600"/>
          <w:sz w:val="32"/>
          <w:szCs w:val="32"/>
        </w:rPr>
        <w:t>ve 2</w:t>
      </w:r>
      <w:r>
        <w:rPr>
          <w:color w:val="FF6600"/>
          <w:sz w:val="32"/>
          <w:szCs w:val="32"/>
        </w:rPr>
        <w:t xml:space="preserve"> – </w:t>
      </w:r>
      <w:proofErr w:type="gramStart"/>
      <w:r w:rsidR="00AA7635" w:rsidRPr="004726EB">
        <w:rPr>
          <w:color w:val="3E007A"/>
          <w:sz w:val="28"/>
          <w:szCs w:val="28"/>
        </w:rPr>
        <w:t>An improved understanding of our c</w:t>
      </w:r>
      <w:r w:rsidR="001066E3">
        <w:rPr>
          <w:color w:val="3E007A"/>
          <w:sz w:val="28"/>
          <w:szCs w:val="28"/>
        </w:rPr>
        <w:t>ommunities to ensure services are</w:t>
      </w:r>
      <w:proofErr w:type="gramEnd"/>
      <w:r w:rsidR="004726EB" w:rsidRPr="004726EB">
        <w:rPr>
          <w:color w:val="3E007A"/>
          <w:sz w:val="28"/>
          <w:szCs w:val="28"/>
        </w:rPr>
        <w:t xml:space="preserve"> fair, equitable and accessible to all and reduce inequality</w:t>
      </w:r>
    </w:p>
    <w:p w14:paraId="755AAD11" w14:textId="77777777" w:rsidR="00963100" w:rsidRDefault="00963100" w:rsidP="00A55C91">
      <w:pPr>
        <w:rPr>
          <w:color w:val="3E007A"/>
          <w:sz w:val="28"/>
          <w:szCs w:val="28"/>
        </w:rPr>
      </w:pPr>
    </w:p>
    <w:tbl>
      <w:tblPr>
        <w:tblW w:w="2992" w:type="dxa"/>
        <w:tblInd w:w="93" w:type="dxa"/>
        <w:tblLook w:val="04A0" w:firstRow="1" w:lastRow="0" w:firstColumn="1" w:lastColumn="0" w:noHBand="0" w:noVBand="1"/>
      </w:tblPr>
      <w:tblGrid>
        <w:gridCol w:w="2000"/>
        <w:gridCol w:w="992"/>
      </w:tblGrid>
      <w:tr w:rsidR="00963100" w:rsidRPr="00963100" w14:paraId="2473FCEA" w14:textId="77777777" w:rsidTr="00963100">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09B6FBEE" w14:textId="77777777" w:rsidR="00963100" w:rsidRPr="00963100" w:rsidRDefault="00963100" w:rsidP="00963100">
            <w:r w:rsidRPr="00963100">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4BEB7F00" w14:textId="77777777" w:rsidR="00963100" w:rsidRPr="00963100" w:rsidRDefault="00963100" w:rsidP="00963100">
            <w:r w:rsidRPr="00963100">
              <w:t>3</w:t>
            </w:r>
          </w:p>
        </w:tc>
      </w:tr>
      <w:tr w:rsidR="00963100" w:rsidRPr="00963100" w14:paraId="267A7401" w14:textId="77777777" w:rsidTr="00963100">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10BA75A7" w14:textId="77777777" w:rsidR="00963100" w:rsidRPr="00963100" w:rsidRDefault="00963100" w:rsidP="00963100">
            <w:r w:rsidRPr="00963100">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5C403692" w14:textId="67D2E7A4" w:rsidR="00963100" w:rsidRPr="00963100" w:rsidRDefault="00963100" w:rsidP="00963100">
            <w:r>
              <w:t>0</w:t>
            </w:r>
          </w:p>
        </w:tc>
      </w:tr>
      <w:tr w:rsidR="00963100" w:rsidRPr="00963100" w14:paraId="235D2966" w14:textId="77777777" w:rsidTr="00963100">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2C11298" w14:textId="77777777" w:rsidR="00963100" w:rsidRPr="00963100" w:rsidRDefault="00963100" w:rsidP="00963100">
            <w:r w:rsidRPr="00963100">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03F32EF5" w14:textId="1A925530" w:rsidR="00963100" w:rsidRPr="00963100" w:rsidRDefault="00963100" w:rsidP="00963100">
            <w:r>
              <w:t>1</w:t>
            </w:r>
          </w:p>
        </w:tc>
      </w:tr>
      <w:tr w:rsidR="00963100" w:rsidRPr="00963100" w14:paraId="406E1570" w14:textId="77777777" w:rsidTr="00963100">
        <w:trPr>
          <w:trHeight w:val="155"/>
        </w:trPr>
        <w:tc>
          <w:tcPr>
            <w:tcW w:w="2992" w:type="dxa"/>
            <w:gridSpan w:val="2"/>
            <w:tcBorders>
              <w:top w:val="nil"/>
              <w:left w:val="single" w:sz="4" w:space="0" w:color="auto"/>
              <w:bottom w:val="single" w:sz="4" w:space="0" w:color="auto"/>
              <w:right w:val="single" w:sz="4" w:space="0" w:color="auto"/>
            </w:tcBorders>
            <w:noWrap/>
            <w:vAlign w:val="bottom"/>
            <w:hideMark/>
          </w:tcPr>
          <w:p w14:paraId="4809F0F7" w14:textId="77777777" w:rsidR="00963100" w:rsidRPr="00963100" w:rsidRDefault="00963100" w:rsidP="00963100">
            <w:r w:rsidRPr="00963100">
              <w:t> </w:t>
            </w:r>
          </w:p>
        </w:tc>
      </w:tr>
      <w:tr w:rsidR="00963100" w:rsidRPr="00963100" w14:paraId="749074BD" w14:textId="77777777" w:rsidTr="00963100">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5A393E21" w14:textId="77777777" w:rsidR="00963100" w:rsidRPr="00963100" w:rsidRDefault="00963100" w:rsidP="00963100">
            <w:r w:rsidRPr="00963100">
              <w:lastRenderedPageBreak/>
              <w:t>Overall Status</w:t>
            </w:r>
          </w:p>
        </w:tc>
        <w:tc>
          <w:tcPr>
            <w:tcW w:w="992" w:type="dxa"/>
            <w:tcBorders>
              <w:top w:val="nil"/>
              <w:left w:val="nil"/>
              <w:bottom w:val="single" w:sz="4" w:space="0" w:color="auto"/>
              <w:right w:val="single" w:sz="4" w:space="0" w:color="auto"/>
            </w:tcBorders>
            <w:noWrap/>
            <w:vAlign w:val="bottom"/>
            <w:hideMark/>
          </w:tcPr>
          <w:p w14:paraId="61116D06" w14:textId="395FABB8" w:rsidR="00963100" w:rsidRPr="00963100" w:rsidRDefault="00963100" w:rsidP="00963100">
            <w:pPr>
              <w:rPr>
                <w:b/>
              </w:rPr>
            </w:pPr>
            <w:r>
              <w:rPr>
                <w:b/>
              </w:rPr>
              <w:t>G</w:t>
            </w:r>
          </w:p>
        </w:tc>
      </w:tr>
    </w:tbl>
    <w:p w14:paraId="5F7C297D" w14:textId="77777777" w:rsidR="00B26743" w:rsidRDefault="00B26743" w:rsidP="00A55C91"/>
    <w:p w14:paraId="4EF31344" w14:textId="5E36F48A" w:rsidR="00F36439" w:rsidRPr="00F36439" w:rsidRDefault="00F36439" w:rsidP="00A55C91">
      <w:pPr>
        <w:rPr>
          <w:b/>
        </w:rPr>
      </w:pPr>
      <w:r w:rsidRPr="00F36439">
        <w:rPr>
          <w:b/>
        </w:rPr>
        <w:t>Equality Impact Assessments</w:t>
      </w:r>
    </w:p>
    <w:p w14:paraId="0BD99BDF" w14:textId="74496D62" w:rsidR="00A76A1F" w:rsidRPr="00CB351E" w:rsidRDefault="001066E3" w:rsidP="00CB351E">
      <w:r>
        <w:t>In 2017</w:t>
      </w:r>
      <w:r w:rsidR="003F2EC1">
        <w:t xml:space="preserve"> we </w:t>
      </w:r>
      <w:r>
        <w:t>undertook</w:t>
      </w:r>
      <w:r w:rsidR="003F2EC1">
        <w:t xml:space="preserve"> a review of our Equalities Impact Assessment (EQIA) form. This is the form all services in the council use to assess if there is any disproportionate impact from any new initiatives or service changes to the nine protected chara</w:t>
      </w:r>
      <w:r w:rsidR="00F36439">
        <w:t xml:space="preserve">cteristics set out in the PSED </w:t>
      </w:r>
      <w:r w:rsidR="003F2EC1">
        <w:t>and if there is</w:t>
      </w:r>
      <w:r w:rsidR="00F36439">
        <w:t>,</w:t>
      </w:r>
      <w:r w:rsidR="003F2EC1">
        <w:t xml:space="preserve"> what mitigations, if any, can be put into place. The EQIA</w:t>
      </w:r>
      <w:r w:rsidR="00F36439">
        <w:t xml:space="preserve"> serves to demonstrate how decision-makers in the Council have paid due regard to the requirements of the PSED. The new template was devised in consultation with council officers and built on best practice in other councils. The shorter, simpler form was approved in February 2018 and should make it easier for officers to complete, thereby improving the quality of the EQIAs</w:t>
      </w:r>
      <w:r w:rsidR="00B82B3C">
        <w:t xml:space="preserve"> and our understanding of our communities and the services we provide or commission</w:t>
      </w:r>
      <w:r w:rsidR="00F36439">
        <w:t>.</w:t>
      </w:r>
    </w:p>
    <w:p w14:paraId="363D60AD" w14:textId="77777777" w:rsidR="00A76A1F" w:rsidRPr="00A76A1F" w:rsidRDefault="00A76A1F" w:rsidP="00A76A1F">
      <w:pPr>
        <w:tabs>
          <w:tab w:val="left" w:pos="1425"/>
        </w:tabs>
      </w:pPr>
    </w:p>
    <w:p w14:paraId="6BB2A7B2" w14:textId="16377820" w:rsidR="00A76A1F" w:rsidRPr="00A76A1F" w:rsidRDefault="00B82B3C" w:rsidP="00A76A1F">
      <w:pPr>
        <w:tabs>
          <w:tab w:val="left" w:pos="1425"/>
        </w:tabs>
        <w:rPr>
          <w:b/>
        </w:rPr>
      </w:pPr>
      <w:r>
        <w:rPr>
          <w:b/>
        </w:rPr>
        <w:t>Mental Health in schools</w:t>
      </w:r>
    </w:p>
    <w:p w14:paraId="3FD84DE7" w14:textId="77777777" w:rsidR="00A76A1F" w:rsidRPr="00A76A1F" w:rsidRDefault="00A76A1F" w:rsidP="00A76A1F">
      <w:pPr>
        <w:tabs>
          <w:tab w:val="left" w:pos="1425"/>
        </w:tabs>
      </w:pPr>
    </w:p>
    <w:p w14:paraId="1B171946" w14:textId="44B540C5" w:rsidR="00A76A1F" w:rsidRPr="00A76A1F" w:rsidRDefault="00A76A1F" w:rsidP="00A76A1F">
      <w:pPr>
        <w:tabs>
          <w:tab w:val="left" w:pos="1425"/>
        </w:tabs>
      </w:pPr>
      <w:r w:rsidRPr="00B82B3C">
        <w:t>Ten mental health awareness training sessions were delivered in conjunction with Mind in Harrow in various communities across Harrow. Support continues to those secondary schools who have Youth Health Champions; and the Mental Health First Aid for Schools session in March 2018 was well attended.</w:t>
      </w:r>
    </w:p>
    <w:p w14:paraId="603141B5" w14:textId="77777777" w:rsidR="00A76A1F" w:rsidRPr="00A76A1F" w:rsidRDefault="00A76A1F" w:rsidP="00A76A1F">
      <w:pPr>
        <w:tabs>
          <w:tab w:val="left" w:pos="1425"/>
        </w:tabs>
      </w:pPr>
    </w:p>
    <w:p w14:paraId="5CB2AE32" w14:textId="77777777" w:rsidR="00A76A1F" w:rsidRPr="00A76A1F" w:rsidRDefault="00A76A1F" w:rsidP="00A76A1F">
      <w:pPr>
        <w:tabs>
          <w:tab w:val="left" w:pos="1425"/>
        </w:tabs>
        <w:rPr>
          <w:b/>
        </w:rPr>
      </w:pPr>
      <w:r w:rsidRPr="00A76A1F">
        <w:rPr>
          <w:b/>
        </w:rPr>
        <w:t>Early Intervention Childrens’ Services</w:t>
      </w:r>
    </w:p>
    <w:p w14:paraId="4DD18E27" w14:textId="77777777" w:rsidR="00A76A1F" w:rsidRPr="00A76A1F" w:rsidRDefault="00A76A1F" w:rsidP="00A76A1F">
      <w:pPr>
        <w:tabs>
          <w:tab w:val="left" w:pos="1425"/>
        </w:tabs>
        <w:rPr>
          <w:b/>
        </w:rPr>
      </w:pPr>
    </w:p>
    <w:p w14:paraId="7B474DC6" w14:textId="1898EAA2" w:rsidR="00A76A1F" w:rsidRPr="00A76A1F" w:rsidRDefault="00A76A1F" w:rsidP="00A76A1F">
      <w:pPr>
        <w:tabs>
          <w:tab w:val="left" w:pos="1425"/>
        </w:tabs>
      </w:pPr>
      <w:r w:rsidRPr="00A76A1F">
        <w:t xml:space="preserve">The Council’s new Early Support model </w:t>
      </w:r>
      <w:r w:rsidR="001066E3">
        <w:t xml:space="preserve">went live in 2017. It is </w:t>
      </w:r>
      <w:r w:rsidRPr="00A76A1F">
        <w:t>delivered via Children’s Centre</w:t>
      </w:r>
      <w:r w:rsidR="001066E3">
        <w:t>s</w:t>
      </w:r>
      <w:r w:rsidRPr="00A76A1F">
        <w:t xml:space="preserve"> and youth centre hubs ensuring these centres are kept open and accessible to residents in the areas of greatest need, despite budget constraints. Part of the Early Support Model is a Youth Offer which is integrated with the Youth Offending Team</w:t>
      </w:r>
      <w:r w:rsidR="001066E3">
        <w:t xml:space="preserve"> and local voluntary and community organisations</w:t>
      </w:r>
      <w:r w:rsidRPr="00A76A1F">
        <w:t xml:space="preserve">  to ensure as many young people as possible are engaged in positive activities and have an array of support available to target support for those considered at risk.</w:t>
      </w:r>
    </w:p>
    <w:p w14:paraId="797F9C70" w14:textId="77777777" w:rsidR="00A76A1F" w:rsidRPr="00A76A1F" w:rsidRDefault="00A76A1F" w:rsidP="00A76A1F">
      <w:pPr>
        <w:tabs>
          <w:tab w:val="left" w:pos="1425"/>
        </w:tabs>
      </w:pPr>
    </w:p>
    <w:p w14:paraId="2FA16A1A" w14:textId="77777777" w:rsidR="00A76A1F" w:rsidRPr="00A76A1F" w:rsidRDefault="00A76A1F" w:rsidP="00A76A1F">
      <w:pPr>
        <w:tabs>
          <w:tab w:val="left" w:pos="1425"/>
        </w:tabs>
      </w:pPr>
      <w:r w:rsidRPr="00A76A1F">
        <w:t>Harrow’s Early Support hubs had reached 82% of children (age 0-5) living in the most deprived areas of Harrow by the end of March 2018. Around 7,950 different families have accessed Early Support hubs since January 2017. The Early Years Strategy has as one of its focuses the improvement in the quality of provision across all settings, targeting disadvantaged children, those with special  educational needs and disability, funded children, and those eligible for the pupil premium, many of whom fall into the bottom 20%. As well over 90% of private, voluntary, and independent (PVI) settings and currently 100% of schools with early years provision are judged “good” or better by Ofsted [above the national average], it is clear that the vast majority of disadvantaged children are educated in strong settings.</w:t>
      </w:r>
    </w:p>
    <w:p w14:paraId="5E703332" w14:textId="77777777" w:rsidR="00A76A1F" w:rsidRPr="00A76A1F" w:rsidRDefault="00A76A1F" w:rsidP="00A76A1F">
      <w:pPr>
        <w:tabs>
          <w:tab w:val="left" w:pos="1425"/>
        </w:tabs>
        <w:rPr>
          <w:b/>
        </w:rPr>
      </w:pPr>
    </w:p>
    <w:p w14:paraId="1168F782" w14:textId="77777777" w:rsidR="00A76A1F" w:rsidRPr="00A76A1F" w:rsidRDefault="00A76A1F" w:rsidP="00A76A1F">
      <w:pPr>
        <w:tabs>
          <w:tab w:val="left" w:pos="1425"/>
        </w:tabs>
        <w:rPr>
          <w:b/>
        </w:rPr>
      </w:pPr>
      <w:r w:rsidRPr="00A76A1F">
        <w:rPr>
          <w:b/>
        </w:rPr>
        <w:t>Harrow Young People’s Needs Analysis</w:t>
      </w:r>
    </w:p>
    <w:p w14:paraId="4FC316BF" w14:textId="1FC85861" w:rsidR="00B82B3C" w:rsidRPr="00B82B3C" w:rsidRDefault="00A76A1F" w:rsidP="00B82B3C">
      <w:pPr>
        <w:tabs>
          <w:tab w:val="left" w:pos="1425"/>
        </w:tabs>
      </w:pPr>
      <w:r w:rsidRPr="00A76A1F">
        <w:lastRenderedPageBreak/>
        <w:t xml:space="preserve">In 2017 Young Harrow Foundation in partnership with Harrow Council and over 50 voluntary organisations conducted the largest ever survey and analysis of young people’s needs. This comprised an extensive survey of </w:t>
      </w:r>
      <w:r w:rsidR="001066E3">
        <w:t>over</w:t>
      </w:r>
      <w:r w:rsidRPr="00A76A1F">
        <w:t xml:space="preserve"> 4000 young people aged 10-19 in the borough, focus groups and a data review. The Analysis revealed that Mental Health, youth violence and employment were the top priorities for young people.</w:t>
      </w:r>
      <w:r>
        <w:t xml:space="preserve"> The rich evidence base we now have about young people’s needs in the borough</w:t>
      </w:r>
      <w:r w:rsidR="00B82B3C">
        <w:t xml:space="preserve"> i</w:t>
      </w:r>
      <w:r w:rsidR="00B82B3C" w:rsidRPr="00B82B3C">
        <w:t xml:space="preserve">s the beginning of </w:t>
      </w:r>
      <w:r w:rsidR="00B82B3C">
        <w:t xml:space="preserve">being able to </w:t>
      </w:r>
      <w:r w:rsidR="00B82B3C" w:rsidRPr="00B82B3C">
        <w:t>help local charities</w:t>
      </w:r>
      <w:r w:rsidR="00B82B3C">
        <w:t xml:space="preserve"> </w:t>
      </w:r>
      <w:r w:rsidR="00B82B3C" w:rsidRPr="00B82B3C">
        <w:t>deliver and fund some of the most important and</w:t>
      </w:r>
      <w:r w:rsidR="00B82B3C">
        <w:t xml:space="preserve"> </w:t>
      </w:r>
      <w:r w:rsidR="00B82B3C" w:rsidRPr="00B82B3C">
        <w:t>vital services to help more young people reach their</w:t>
      </w:r>
      <w:r w:rsidR="00B82B3C">
        <w:t xml:space="preserve"> </w:t>
      </w:r>
      <w:r w:rsidR="00B82B3C" w:rsidRPr="00B82B3C">
        <w:t>potential. We hope this can play a role in helping to</w:t>
      </w:r>
      <w:r w:rsidR="00B82B3C">
        <w:t xml:space="preserve"> </w:t>
      </w:r>
      <w:r w:rsidR="00B82B3C" w:rsidRPr="00B82B3C">
        <w:t>prove local need and increase external funding into</w:t>
      </w:r>
      <w:r w:rsidR="00B82B3C">
        <w:t xml:space="preserve"> Harrow as well as provide an o</w:t>
      </w:r>
      <w:r w:rsidR="00B82B3C" w:rsidRPr="00B82B3C">
        <w:t>nline platform to see the issues and specific</w:t>
      </w:r>
      <w:r w:rsidR="00B82B3C">
        <w:t xml:space="preserve"> </w:t>
      </w:r>
      <w:r w:rsidR="00B82B3C" w:rsidRPr="00B82B3C">
        <w:t>opportunities for young people based on the</w:t>
      </w:r>
      <w:r w:rsidR="00B82B3C">
        <w:t xml:space="preserve"> </w:t>
      </w:r>
      <w:r w:rsidR="00B82B3C" w:rsidRPr="00B82B3C">
        <w:t>survey findings</w:t>
      </w:r>
      <w:r w:rsidR="00B82B3C">
        <w:t xml:space="preserve"> and a </w:t>
      </w:r>
      <w:r w:rsidR="00B82B3C" w:rsidRPr="00B82B3C">
        <w:t>new</w:t>
      </w:r>
      <w:r w:rsidR="00B82B3C">
        <w:t xml:space="preserve"> Young Harrow Foundation</w:t>
      </w:r>
      <w:r w:rsidR="00B82B3C" w:rsidRPr="00B82B3C">
        <w:t xml:space="preserve"> website to include searchable platform</w:t>
      </w:r>
      <w:r w:rsidR="00B82B3C">
        <w:t xml:space="preserve"> </w:t>
      </w:r>
      <w:r w:rsidR="00B82B3C" w:rsidRPr="00B82B3C">
        <w:t>for children and young people services in Harrow.</w:t>
      </w:r>
    </w:p>
    <w:p w14:paraId="307FA3E8" w14:textId="77777777" w:rsidR="00A76A1F" w:rsidRPr="00A76A1F" w:rsidRDefault="00A76A1F" w:rsidP="00A76A1F">
      <w:pPr>
        <w:tabs>
          <w:tab w:val="left" w:pos="1425"/>
        </w:tabs>
        <w:rPr>
          <w:b/>
        </w:rPr>
      </w:pPr>
    </w:p>
    <w:p w14:paraId="2BBFD0EE" w14:textId="7CC4B8DF" w:rsidR="00A76A1F" w:rsidRPr="00CB351E" w:rsidRDefault="00CB351E" w:rsidP="00A76A1F">
      <w:pPr>
        <w:tabs>
          <w:tab w:val="left" w:pos="1425"/>
        </w:tabs>
        <w:rPr>
          <w:b/>
        </w:rPr>
      </w:pPr>
      <w:r w:rsidRPr="00CB351E">
        <w:rPr>
          <w:b/>
        </w:rPr>
        <w:t>Housing</w:t>
      </w:r>
    </w:p>
    <w:p w14:paraId="437A51C5" w14:textId="09F43167" w:rsidR="00900974" w:rsidRDefault="00CB351E" w:rsidP="00A76A1F">
      <w:pPr>
        <w:tabs>
          <w:tab w:val="left" w:pos="1425"/>
        </w:tabs>
        <w:rPr>
          <w:iCs/>
        </w:rPr>
      </w:pPr>
      <w:r w:rsidRPr="00CB351E">
        <w:t xml:space="preserve">We know housing is a key factor in inequality with </w:t>
      </w:r>
      <w:r w:rsidR="00900974">
        <w:t xml:space="preserve">a combination of a lack of affordable housing </w:t>
      </w:r>
      <w:r w:rsidRPr="00CB351E">
        <w:t>and changes to welfare benefits</w:t>
      </w:r>
      <w:r>
        <w:t xml:space="preserve"> acerbating the problem</w:t>
      </w:r>
      <w:r w:rsidR="00900974">
        <w:t>. T</w:t>
      </w:r>
      <w:r w:rsidRPr="00CB351E">
        <w:t>he Council</w:t>
      </w:r>
      <w:r w:rsidR="00900974">
        <w:t>’s response</w:t>
      </w:r>
      <w:r w:rsidRPr="00CB351E">
        <w:t xml:space="preserve"> has</w:t>
      </w:r>
      <w:r w:rsidR="00900974">
        <w:t xml:space="preserve"> been to</w:t>
      </w:r>
      <w:r w:rsidRPr="00CB351E">
        <w:t xml:space="preserve"> </w:t>
      </w:r>
      <w:r w:rsidR="00900974">
        <w:t>start</w:t>
      </w:r>
      <w:r w:rsidRPr="00CB351E">
        <w:t xml:space="preserve"> to build the first new council homes in a generation, p</w:t>
      </w:r>
      <w:r w:rsidRPr="00CB351E">
        <w:rPr>
          <w:iCs/>
        </w:rPr>
        <w:t xml:space="preserve">roviding new family homes at affordable rents. By March 2018, 50 new council homes were completed or on site and there are 30 more in pipeline </w:t>
      </w:r>
      <w:proofErr w:type="gramStart"/>
      <w:r w:rsidRPr="00CB351E">
        <w:rPr>
          <w:iCs/>
        </w:rPr>
        <w:t>awaiting</w:t>
      </w:r>
      <w:proofErr w:type="gramEnd"/>
      <w:r w:rsidRPr="00CB351E">
        <w:rPr>
          <w:iCs/>
        </w:rPr>
        <w:t xml:space="preserve"> funding. The Grange Farm estate regeneration project to deliver circa 500 new mixed tenure homes</w:t>
      </w:r>
      <w:r w:rsidR="00900974">
        <w:rPr>
          <w:iCs/>
        </w:rPr>
        <w:t xml:space="preserve"> has been</w:t>
      </w:r>
      <w:r w:rsidRPr="00CB351E">
        <w:rPr>
          <w:iCs/>
        </w:rPr>
        <w:t xml:space="preserve"> using GLA grant and HIF funding </w:t>
      </w:r>
      <w:r w:rsidR="00900974">
        <w:rPr>
          <w:iCs/>
        </w:rPr>
        <w:t xml:space="preserve">has been approved </w:t>
      </w:r>
      <w:r w:rsidRPr="00CB351E">
        <w:rPr>
          <w:iCs/>
        </w:rPr>
        <w:t>and our 100 homes property acquisition programme providing temporary accommodation at LHA level rents supported by General Fund borrowing</w:t>
      </w:r>
      <w:r w:rsidR="00900974">
        <w:rPr>
          <w:iCs/>
        </w:rPr>
        <w:t xml:space="preserve"> has been launched helping to reduce the numbers in emergency B&amp;B accommodation</w:t>
      </w:r>
      <w:r w:rsidRPr="00CB351E">
        <w:rPr>
          <w:iCs/>
        </w:rPr>
        <w:t>.</w:t>
      </w:r>
      <w:r w:rsidR="00900974">
        <w:rPr>
          <w:iCs/>
        </w:rPr>
        <w:t xml:space="preserve"> </w:t>
      </w:r>
    </w:p>
    <w:p w14:paraId="23BFF7A1" w14:textId="77777777" w:rsidR="00900974" w:rsidRDefault="00900974" w:rsidP="00A76A1F">
      <w:pPr>
        <w:tabs>
          <w:tab w:val="left" w:pos="1425"/>
        </w:tabs>
        <w:rPr>
          <w:iCs/>
        </w:rPr>
      </w:pPr>
    </w:p>
    <w:p w14:paraId="7D93AAE1" w14:textId="7816F4F3" w:rsidR="00900974" w:rsidRDefault="00900974" w:rsidP="00A76A1F">
      <w:pPr>
        <w:tabs>
          <w:tab w:val="left" w:pos="1425"/>
        </w:tabs>
        <w:rPr>
          <w:iCs/>
        </w:rPr>
      </w:pPr>
      <w:r>
        <w:rPr>
          <w:iCs/>
        </w:rPr>
        <w:t xml:space="preserve">We have also been working to improve the standards of rented properties in Harrow by introducing licensing schemes in Edgware, Wealdstone and South Harrow and tackle unlicensed houses of multiple </w:t>
      </w:r>
      <w:proofErr w:type="gramStart"/>
      <w:r>
        <w:rPr>
          <w:iCs/>
        </w:rPr>
        <w:t>occupation</w:t>
      </w:r>
      <w:proofErr w:type="gramEnd"/>
      <w:r>
        <w:rPr>
          <w:iCs/>
        </w:rPr>
        <w:t>. We have also continued to improve our own stock by investing £20m in a five year programme to upgrade the quality of our homes with more efficient boilers, new kitchens and bathrooms, upgraded door entry systems and fire safety works.</w:t>
      </w:r>
    </w:p>
    <w:p w14:paraId="168B9DF4" w14:textId="77777777" w:rsidR="00900974" w:rsidRDefault="00900974" w:rsidP="00A76A1F">
      <w:pPr>
        <w:tabs>
          <w:tab w:val="left" w:pos="1425"/>
        </w:tabs>
        <w:rPr>
          <w:iCs/>
        </w:rPr>
      </w:pPr>
    </w:p>
    <w:p w14:paraId="21EB3BE7" w14:textId="2C0634F5" w:rsidR="00A76A1F" w:rsidRPr="00900974" w:rsidRDefault="00A76A1F" w:rsidP="00A76A1F">
      <w:pPr>
        <w:tabs>
          <w:tab w:val="left" w:pos="1425"/>
        </w:tabs>
        <w:rPr>
          <w:iCs/>
        </w:rPr>
      </w:pPr>
      <w:r w:rsidRPr="00CB351E">
        <w:t xml:space="preserve">Prevention remains challenging while there is such a gap between actual rents and Housing Benefit payments, but we have succeeded in </w:t>
      </w:r>
      <w:r w:rsidR="00900974">
        <w:t>bringing down the number of households in emergency B&amp;B accommodation by over 60% from a peak of 307 families in June 2016 to 116 families by the end of 2017. We have largely done this through our property purchase programme, actively working with private landlords to prevent homelessness and offering longer term private rented accommodation in London and elsewhere to end the uncertainty of homelessness.</w:t>
      </w:r>
    </w:p>
    <w:p w14:paraId="5865D5AC" w14:textId="77777777" w:rsidR="00A76A1F" w:rsidRPr="00A76A1F" w:rsidRDefault="00A76A1F" w:rsidP="00A76A1F">
      <w:pPr>
        <w:tabs>
          <w:tab w:val="left" w:pos="1425"/>
        </w:tabs>
        <w:rPr>
          <w:b/>
          <w:iCs/>
        </w:rPr>
      </w:pPr>
    </w:p>
    <w:p w14:paraId="55C30FA2" w14:textId="77777777" w:rsidR="00A76A1F" w:rsidRPr="00A76A1F" w:rsidRDefault="00A76A1F" w:rsidP="00A76A1F">
      <w:pPr>
        <w:tabs>
          <w:tab w:val="left" w:pos="1425"/>
        </w:tabs>
        <w:rPr>
          <w:b/>
        </w:rPr>
      </w:pPr>
      <w:r w:rsidRPr="00A76A1F">
        <w:rPr>
          <w:b/>
        </w:rPr>
        <w:t>Crime and Community Safety</w:t>
      </w:r>
    </w:p>
    <w:p w14:paraId="373BA620" w14:textId="4CA007B9" w:rsidR="00A76A1F" w:rsidRPr="00A76A1F" w:rsidRDefault="00A76A1F" w:rsidP="00A76A1F">
      <w:pPr>
        <w:tabs>
          <w:tab w:val="left" w:pos="1425"/>
        </w:tabs>
        <w:rPr>
          <w:bCs/>
          <w:iCs/>
        </w:rPr>
      </w:pPr>
      <w:r w:rsidRPr="00A76A1F">
        <w:rPr>
          <w:bCs/>
          <w:iCs/>
        </w:rPr>
        <w:t xml:space="preserve">In July 2017 Harrow undertook a Home Office led Locality Assessment focussing on the issue of gangs and serious youth violence. The process involved a series of interviews and focus groups with front-line practitioners to gather information, knowledge and perception whilst building a qualitative picture of the key issues and drivers around county lines, gangs, youth violence and vulnerability. The </w:t>
      </w:r>
      <w:r w:rsidRPr="00A76A1F">
        <w:rPr>
          <w:bCs/>
          <w:iCs/>
        </w:rPr>
        <w:lastRenderedPageBreak/>
        <w:t xml:space="preserve">assessment provided us with a much deeper understanding of the key issues and drivers </w:t>
      </w:r>
      <w:r w:rsidR="001066E3">
        <w:rPr>
          <w:bCs/>
          <w:iCs/>
        </w:rPr>
        <w:t>of youth violence,</w:t>
      </w:r>
      <w:r w:rsidRPr="00A76A1F">
        <w:rPr>
          <w:bCs/>
          <w:iCs/>
        </w:rPr>
        <w:t xml:space="preserve"> which </w:t>
      </w:r>
      <w:r w:rsidR="001066E3">
        <w:rPr>
          <w:bCs/>
          <w:iCs/>
        </w:rPr>
        <w:t>have since informed</w:t>
      </w:r>
      <w:r w:rsidRPr="00A76A1F">
        <w:rPr>
          <w:bCs/>
          <w:iCs/>
        </w:rPr>
        <w:t xml:space="preserve"> our Youth Offending Plan and Community Safety Violence, Vulnerability and Exploitation Strategy.</w:t>
      </w:r>
    </w:p>
    <w:p w14:paraId="0660DF2A" w14:textId="77777777" w:rsidR="00A76A1F" w:rsidRPr="00A76A1F" w:rsidRDefault="00A76A1F" w:rsidP="00A76A1F">
      <w:pPr>
        <w:tabs>
          <w:tab w:val="left" w:pos="1425"/>
        </w:tabs>
        <w:rPr>
          <w:bCs/>
          <w:iCs/>
        </w:rPr>
      </w:pPr>
    </w:p>
    <w:p w14:paraId="5F939D4E" w14:textId="3EB45163" w:rsidR="005D290D" w:rsidRDefault="00A76A1F" w:rsidP="00A76A1F">
      <w:pPr>
        <w:tabs>
          <w:tab w:val="left" w:pos="1425"/>
        </w:tabs>
        <w:rPr>
          <w:bCs/>
          <w:iCs/>
        </w:rPr>
      </w:pPr>
      <w:r w:rsidRPr="00A76A1F">
        <w:rPr>
          <w:bCs/>
          <w:iCs/>
        </w:rPr>
        <w:t xml:space="preserve">In 2017 we were </w:t>
      </w:r>
      <w:r w:rsidR="001066E3">
        <w:rPr>
          <w:bCs/>
          <w:iCs/>
        </w:rPr>
        <w:t xml:space="preserve">also </w:t>
      </w:r>
      <w:r w:rsidRPr="00A76A1F">
        <w:rPr>
          <w:bCs/>
          <w:iCs/>
        </w:rPr>
        <w:t xml:space="preserve">allocated funding under the Mayor’s London Crime Reduction Fund (LCPF). We worked with our Voluntary and Community Sector to design a range of interventions that have been proven to be successful in the borough and </w:t>
      </w:r>
      <w:r w:rsidR="005D290D">
        <w:rPr>
          <w:bCs/>
          <w:iCs/>
        </w:rPr>
        <w:t>elsewhere</w:t>
      </w:r>
      <w:r w:rsidR="00B92EFA">
        <w:rPr>
          <w:bCs/>
          <w:iCs/>
        </w:rPr>
        <w:t xml:space="preserve"> to reduce offending, these were:</w:t>
      </w:r>
    </w:p>
    <w:p w14:paraId="4D5DF0F3" w14:textId="3588435E" w:rsidR="00A76A1F" w:rsidRDefault="005D290D" w:rsidP="005D290D">
      <w:pPr>
        <w:pStyle w:val="ListParagraph"/>
        <w:numPr>
          <w:ilvl w:val="0"/>
          <w:numId w:val="34"/>
        </w:numPr>
        <w:tabs>
          <w:tab w:val="left" w:pos="1425"/>
        </w:tabs>
        <w:rPr>
          <w:bCs/>
          <w:iCs/>
        </w:rPr>
      </w:pPr>
      <w:r>
        <w:rPr>
          <w:bCs/>
          <w:iCs/>
        </w:rPr>
        <w:t xml:space="preserve">The development of a problem profile to underpin our strategy on Violence, Vulnerability and Exploitation </w:t>
      </w:r>
      <w:r w:rsidR="00B92EFA">
        <w:rPr>
          <w:bCs/>
          <w:iCs/>
        </w:rPr>
        <w:t xml:space="preserve">which </w:t>
      </w:r>
      <w:r>
        <w:rPr>
          <w:bCs/>
          <w:iCs/>
        </w:rPr>
        <w:t xml:space="preserve">has </w:t>
      </w:r>
      <w:r w:rsidRPr="005D290D">
        <w:rPr>
          <w:bCs/>
          <w:iCs/>
        </w:rPr>
        <w:t xml:space="preserve">improved </w:t>
      </w:r>
      <w:r>
        <w:rPr>
          <w:bCs/>
          <w:iCs/>
        </w:rPr>
        <w:t xml:space="preserve">our </w:t>
      </w:r>
      <w:r w:rsidRPr="005D290D">
        <w:rPr>
          <w:bCs/>
          <w:iCs/>
        </w:rPr>
        <w:t>understanding of local gang activity, drugs market, links between gang activity and missing/absent young people and other vulnerable groups.</w:t>
      </w:r>
    </w:p>
    <w:p w14:paraId="2245C1B3" w14:textId="478D468A" w:rsidR="005D290D" w:rsidRDefault="005D290D" w:rsidP="005D290D">
      <w:pPr>
        <w:pStyle w:val="ListParagraph"/>
        <w:numPr>
          <w:ilvl w:val="0"/>
          <w:numId w:val="34"/>
        </w:numPr>
        <w:tabs>
          <w:tab w:val="left" w:pos="1425"/>
        </w:tabs>
        <w:rPr>
          <w:bCs/>
          <w:iCs/>
        </w:rPr>
      </w:pPr>
      <w:r>
        <w:rPr>
          <w:bCs/>
          <w:iCs/>
        </w:rPr>
        <w:t>Work with 69 young offenders resulted in half starting to make positive choices and 40% increasing their aspirations and hopes for the future.</w:t>
      </w:r>
    </w:p>
    <w:p w14:paraId="5F7417F6" w14:textId="3D2F3B71" w:rsidR="005D290D" w:rsidRDefault="00B92EFA" w:rsidP="005D290D">
      <w:pPr>
        <w:pStyle w:val="ListParagraph"/>
        <w:numPr>
          <w:ilvl w:val="0"/>
          <w:numId w:val="34"/>
        </w:numPr>
        <w:tabs>
          <w:tab w:val="left" w:pos="1425"/>
        </w:tabs>
        <w:rPr>
          <w:bCs/>
          <w:iCs/>
        </w:rPr>
      </w:pPr>
      <w:r>
        <w:rPr>
          <w:bCs/>
          <w:iCs/>
        </w:rPr>
        <w:t>An art and drama project in schools to divert young people away from youth violence and gain increased confidence, self-esteem and skills demonstrated progress in 88% of participants</w:t>
      </w:r>
    </w:p>
    <w:p w14:paraId="03091F1D" w14:textId="2346972D" w:rsidR="00B92EFA" w:rsidRPr="00B92EFA" w:rsidRDefault="00B92EFA" w:rsidP="00B92EFA">
      <w:pPr>
        <w:pStyle w:val="ListParagraph"/>
        <w:numPr>
          <w:ilvl w:val="0"/>
          <w:numId w:val="34"/>
        </w:numPr>
        <w:rPr>
          <w:rFonts w:cstheme="minorHAnsi"/>
        </w:rPr>
      </w:pPr>
      <w:r w:rsidRPr="00B92EFA">
        <w:rPr>
          <w:rFonts w:cstheme="minorHAnsi"/>
        </w:rPr>
        <w:t>Work to reduce the number of young people involved in the supply of illicit substances and to build resilience in young people so that they are able to spot the signs of dealer grooming.</w:t>
      </w:r>
    </w:p>
    <w:p w14:paraId="50960209" w14:textId="23F4454D" w:rsidR="00B92EFA" w:rsidRPr="00B92EFA" w:rsidRDefault="00B92EFA" w:rsidP="00B92EFA">
      <w:pPr>
        <w:pStyle w:val="ListParagraph"/>
        <w:numPr>
          <w:ilvl w:val="0"/>
          <w:numId w:val="34"/>
        </w:numPr>
      </w:pPr>
      <w:r>
        <w:rPr>
          <w:rFonts w:cstheme="minorHAnsi"/>
        </w:rPr>
        <w:t>Providing</w:t>
      </w:r>
      <w:r w:rsidRPr="00B92EFA">
        <w:rPr>
          <w:rFonts w:cstheme="minorHAnsi"/>
        </w:rPr>
        <w:t xml:space="preserve"> critical support to the most vulnerable members of our community who are affected by domestic and sexual violence.</w:t>
      </w:r>
      <w:r w:rsidRPr="00B92EFA">
        <w:t xml:space="preserve"> </w:t>
      </w:r>
    </w:p>
    <w:p w14:paraId="7B73A503" w14:textId="10BEC926" w:rsidR="00B92EFA" w:rsidRPr="00B92EFA" w:rsidRDefault="00B92EFA" w:rsidP="00B92EFA">
      <w:pPr>
        <w:pStyle w:val="ListParagraph"/>
        <w:numPr>
          <w:ilvl w:val="0"/>
          <w:numId w:val="34"/>
        </w:numPr>
      </w:pPr>
      <w:r>
        <w:t>Reducing</w:t>
      </w:r>
      <w:r w:rsidRPr="00B92EFA">
        <w:t xml:space="preserve"> alcohol and drug-related reoffending via targeted early support and treatment for ex-prisoners</w:t>
      </w:r>
      <w:r>
        <w:t xml:space="preserve"> so now over 20% of drug using offenders in treatment</w:t>
      </w:r>
      <w:r w:rsidRPr="00B92EFA">
        <w:t>.</w:t>
      </w:r>
    </w:p>
    <w:p w14:paraId="3204A99B" w14:textId="1D61EDFF" w:rsidR="00B92EFA" w:rsidRPr="00B92EFA" w:rsidRDefault="00B92EFA" w:rsidP="00B92EFA">
      <w:pPr>
        <w:pStyle w:val="ListParagraph"/>
        <w:numPr>
          <w:ilvl w:val="0"/>
          <w:numId w:val="34"/>
        </w:numPr>
      </w:pPr>
      <w:r w:rsidRPr="00B92EFA">
        <w:t>To generate and embed a cultural shift within the schools on the issues of sexual assault, C</w:t>
      </w:r>
      <w:r>
        <w:t xml:space="preserve">hild </w:t>
      </w:r>
      <w:r w:rsidRPr="00B92EFA">
        <w:t>S</w:t>
      </w:r>
      <w:r>
        <w:t xml:space="preserve">exual </w:t>
      </w:r>
      <w:r w:rsidRPr="00B92EFA">
        <w:t>E</w:t>
      </w:r>
      <w:r>
        <w:t>xploitation</w:t>
      </w:r>
      <w:r w:rsidRPr="00B92EFA">
        <w:t xml:space="preserve"> and digital exploitation and to</w:t>
      </w:r>
      <w:r w:rsidR="00A33A5D">
        <w:t xml:space="preserve"> promote a culture of awareness. To date </w:t>
      </w:r>
      <w:r w:rsidRPr="00B92EFA">
        <w:t xml:space="preserve">75% of children and young people </w:t>
      </w:r>
      <w:r w:rsidR="00A33A5D">
        <w:t xml:space="preserve">involved in the project </w:t>
      </w:r>
      <w:r w:rsidRPr="00B92EFA">
        <w:t>report an increased awareness about</w:t>
      </w:r>
      <w:r w:rsidR="00A33A5D">
        <w:t xml:space="preserve"> the issues and </w:t>
      </w:r>
      <w:r w:rsidRPr="00B92EFA">
        <w:t>70% of young victims supported report</w:t>
      </w:r>
      <w:r w:rsidR="00A33A5D">
        <w:t>ed</w:t>
      </w:r>
      <w:r w:rsidRPr="00B92EFA">
        <w:t xml:space="preserve"> a significant improvement in their sense of safety from repeat victimisation.</w:t>
      </w:r>
    </w:p>
    <w:p w14:paraId="75930DF9" w14:textId="77777777" w:rsidR="00A76A1F" w:rsidRPr="00A76A1F" w:rsidRDefault="00A76A1F" w:rsidP="00A76A1F">
      <w:pPr>
        <w:tabs>
          <w:tab w:val="left" w:pos="1425"/>
        </w:tabs>
      </w:pPr>
      <w:r w:rsidRPr="00A76A1F">
        <w:rPr>
          <w:bCs/>
          <w:iCs/>
        </w:rPr>
        <w:t xml:space="preserve"> </w:t>
      </w:r>
    </w:p>
    <w:p w14:paraId="258BF6DB" w14:textId="77777777" w:rsidR="00A76A1F" w:rsidRPr="00A76A1F" w:rsidRDefault="00A76A1F" w:rsidP="00A76A1F">
      <w:pPr>
        <w:tabs>
          <w:tab w:val="left" w:pos="1425"/>
        </w:tabs>
        <w:rPr>
          <w:b/>
        </w:rPr>
      </w:pPr>
      <w:r w:rsidRPr="00A76A1F">
        <w:rPr>
          <w:b/>
        </w:rPr>
        <w:t>Apprenticeships</w:t>
      </w:r>
    </w:p>
    <w:p w14:paraId="1FEDD102" w14:textId="09BF6772" w:rsidR="00A76A1F" w:rsidRDefault="00A76A1F" w:rsidP="00A76A1F">
      <w:pPr>
        <w:tabs>
          <w:tab w:val="left" w:pos="1425"/>
        </w:tabs>
      </w:pPr>
      <w:r w:rsidRPr="00A76A1F">
        <w:t>Xcite Employment Project is a council programme supporting Harrow residents that helps people into work, provides Apprenticeship brokerage linking young people to training providers and businesses, accesses funding for vocational training for eligible people in work to improve their career opportunities and provides a Construction employment specialist providing job brokerage and training advice and</w:t>
      </w:r>
      <w:r w:rsidR="008257DF">
        <w:t xml:space="preserve"> funding for eligible residents. </w:t>
      </w:r>
      <w:r w:rsidRPr="00A76A1F">
        <w:t>The table below summarises the Xcite team’s performance</w:t>
      </w:r>
      <w:r w:rsidR="008257DF">
        <w:t xml:space="preserve"> in 2017/18</w:t>
      </w:r>
      <w:r w:rsidRPr="00A76A1F">
        <w:t xml:space="preserve"> against equality indicators. </w:t>
      </w:r>
    </w:p>
    <w:p w14:paraId="7699D6EF" w14:textId="77777777" w:rsidR="008257DF" w:rsidRDefault="008257DF" w:rsidP="00A76A1F">
      <w:pPr>
        <w:tabs>
          <w:tab w:val="left" w:pos="1425"/>
        </w:tabs>
      </w:pPr>
    </w:p>
    <w:p w14:paraId="4D0FF7FA" w14:textId="77777777" w:rsidR="008257DF" w:rsidRPr="008257DF" w:rsidRDefault="008257DF" w:rsidP="008257DF">
      <w:pPr>
        <w:tabs>
          <w:tab w:val="left" w:pos="1425"/>
        </w:tabs>
      </w:pPr>
    </w:p>
    <w:tbl>
      <w:tblPr>
        <w:tblW w:w="6400" w:type="dxa"/>
        <w:tblInd w:w="-18" w:type="dxa"/>
        <w:tblCellMar>
          <w:left w:w="0" w:type="dxa"/>
          <w:right w:w="0" w:type="dxa"/>
        </w:tblCellMar>
        <w:tblLook w:val="04A0" w:firstRow="1" w:lastRow="0" w:firstColumn="1" w:lastColumn="0" w:noHBand="0" w:noVBand="1"/>
      </w:tblPr>
      <w:tblGrid>
        <w:gridCol w:w="1177"/>
        <w:gridCol w:w="1017"/>
        <w:gridCol w:w="1539"/>
        <w:gridCol w:w="1252"/>
        <w:gridCol w:w="1415"/>
      </w:tblGrid>
      <w:tr w:rsidR="008257DF" w:rsidRPr="008257DF" w14:paraId="0B4A418A" w14:textId="77777777" w:rsidTr="008257DF">
        <w:trPr>
          <w:trHeight w:val="315"/>
        </w:trPr>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8FD58" w14:textId="77777777" w:rsidR="008257DF" w:rsidRPr="008257DF" w:rsidRDefault="008257DF" w:rsidP="008257DF">
            <w:pPr>
              <w:tabs>
                <w:tab w:val="left" w:pos="1425"/>
              </w:tabs>
              <w:rPr>
                <w:b/>
                <w:bCs/>
              </w:rPr>
            </w:pPr>
            <w:r w:rsidRPr="008257DF">
              <w:rPr>
                <w:b/>
                <w:bCs/>
              </w:rPr>
              <w:t>Clients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0C1CC5" w14:textId="77777777" w:rsidR="008257DF" w:rsidRPr="008257DF" w:rsidRDefault="008257DF" w:rsidP="008257DF">
            <w:pPr>
              <w:tabs>
                <w:tab w:val="left" w:pos="1425"/>
              </w:tabs>
              <w:rPr>
                <w:b/>
                <w:bCs/>
              </w:rPr>
            </w:pPr>
            <w:r w:rsidRPr="008257DF">
              <w:rPr>
                <w:b/>
                <w:bCs/>
              </w:rPr>
              <w:t xml:space="preserve">Clients </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87887" w14:textId="77777777" w:rsidR="008257DF" w:rsidRPr="008257DF" w:rsidRDefault="008257DF" w:rsidP="008257DF">
            <w:pPr>
              <w:tabs>
                <w:tab w:val="left" w:pos="1425"/>
              </w:tabs>
              <w:rPr>
                <w:b/>
                <w:bCs/>
              </w:rPr>
            </w:pPr>
            <w:r w:rsidRPr="008257DF">
              <w:rPr>
                <w:b/>
                <w:bCs/>
              </w:rPr>
              <w:t>Job outcomes</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F4870B" w14:textId="77777777" w:rsidR="008257DF" w:rsidRPr="008257DF" w:rsidRDefault="008257DF" w:rsidP="008257DF">
            <w:pPr>
              <w:tabs>
                <w:tab w:val="left" w:pos="1425"/>
              </w:tabs>
              <w:rPr>
                <w:b/>
                <w:bCs/>
              </w:rPr>
            </w:pPr>
            <w:r w:rsidRPr="008257DF">
              <w:rPr>
                <w:b/>
                <w:bCs/>
              </w:rPr>
              <w:t>% of clients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D8D15" w14:textId="77777777" w:rsidR="008257DF" w:rsidRPr="008257DF" w:rsidRDefault="008257DF" w:rsidP="008257DF">
            <w:pPr>
              <w:tabs>
                <w:tab w:val="left" w:pos="1425"/>
              </w:tabs>
              <w:rPr>
                <w:b/>
                <w:bCs/>
              </w:rPr>
            </w:pPr>
            <w:r w:rsidRPr="008257DF">
              <w:rPr>
                <w:b/>
                <w:bCs/>
              </w:rPr>
              <w:t>% of into work</w:t>
            </w:r>
          </w:p>
        </w:tc>
      </w:tr>
      <w:tr w:rsidR="008257DF" w:rsidRPr="008257DF" w14:paraId="371ADEA8" w14:textId="77777777" w:rsidTr="008257DF">
        <w:trPr>
          <w:trHeight w:val="300"/>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0F59E" w14:textId="77777777" w:rsidR="008257DF" w:rsidRPr="008257DF" w:rsidRDefault="008257DF" w:rsidP="008257DF">
            <w:pPr>
              <w:tabs>
                <w:tab w:val="left" w:pos="1425"/>
              </w:tabs>
            </w:pPr>
            <w:r w:rsidRPr="008257DF">
              <w:lastRenderedPageBreak/>
              <w:t>Male</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B87DE" w14:textId="77777777" w:rsidR="008257DF" w:rsidRPr="008257DF" w:rsidRDefault="008257DF" w:rsidP="008257DF">
            <w:pPr>
              <w:tabs>
                <w:tab w:val="left" w:pos="1425"/>
              </w:tabs>
            </w:pPr>
            <w:r w:rsidRPr="008257DF">
              <w:t>269</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7FE7B" w14:textId="77777777" w:rsidR="008257DF" w:rsidRPr="008257DF" w:rsidRDefault="008257DF" w:rsidP="008257DF">
            <w:pPr>
              <w:tabs>
                <w:tab w:val="left" w:pos="1425"/>
              </w:tabs>
            </w:pPr>
            <w:r w:rsidRPr="008257DF">
              <w:t>144</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A7C50" w14:textId="77777777" w:rsidR="008257DF" w:rsidRPr="008257DF" w:rsidRDefault="008257DF" w:rsidP="008257DF">
            <w:pPr>
              <w:tabs>
                <w:tab w:val="left" w:pos="1425"/>
              </w:tabs>
            </w:pPr>
            <w:r w:rsidRPr="008257DF">
              <w:t>64%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FFBC7" w14:textId="77777777" w:rsidR="008257DF" w:rsidRPr="008257DF" w:rsidRDefault="008257DF" w:rsidP="008257DF">
            <w:pPr>
              <w:tabs>
                <w:tab w:val="left" w:pos="1425"/>
              </w:tabs>
            </w:pPr>
            <w:r w:rsidRPr="008257DF">
              <w:t>73%</w:t>
            </w:r>
          </w:p>
        </w:tc>
      </w:tr>
      <w:tr w:rsidR="008257DF" w:rsidRPr="008257DF" w14:paraId="68F755D3" w14:textId="77777777" w:rsidTr="008257DF">
        <w:trPr>
          <w:trHeight w:val="300"/>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C92F3" w14:textId="77777777" w:rsidR="008257DF" w:rsidRPr="008257DF" w:rsidRDefault="008257DF" w:rsidP="008257DF">
            <w:pPr>
              <w:tabs>
                <w:tab w:val="left" w:pos="1425"/>
              </w:tabs>
            </w:pPr>
            <w:r w:rsidRPr="008257DF">
              <w:t>Female</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E256E" w14:textId="77777777" w:rsidR="008257DF" w:rsidRPr="008257DF" w:rsidRDefault="008257DF" w:rsidP="008257DF">
            <w:pPr>
              <w:tabs>
                <w:tab w:val="left" w:pos="1425"/>
              </w:tabs>
            </w:pPr>
            <w:r w:rsidRPr="008257DF">
              <w:t>152</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ECCCC" w14:textId="77777777" w:rsidR="008257DF" w:rsidRPr="008257DF" w:rsidRDefault="008257DF" w:rsidP="008257DF">
            <w:pPr>
              <w:tabs>
                <w:tab w:val="left" w:pos="1425"/>
              </w:tabs>
            </w:pPr>
            <w:r w:rsidRPr="008257DF">
              <w:t>53</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36DCC" w14:textId="77777777" w:rsidR="008257DF" w:rsidRPr="008257DF" w:rsidRDefault="008257DF" w:rsidP="008257DF">
            <w:pPr>
              <w:tabs>
                <w:tab w:val="left" w:pos="1425"/>
              </w:tabs>
            </w:pPr>
            <w:r w:rsidRPr="008257DF">
              <w:t>36%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81415" w14:textId="77777777" w:rsidR="008257DF" w:rsidRPr="008257DF" w:rsidRDefault="008257DF" w:rsidP="008257DF">
            <w:pPr>
              <w:tabs>
                <w:tab w:val="left" w:pos="1425"/>
              </w:tabs>
            </w:pPr>
            <w:r w:rsidRPr="008257DF">
              <w:t>27%</w:t>
            </w:r>
          </w:p>
        </w:tc>
      </w:tr>
      <w:tr w:rsidR="008257DF" w:rsidRPr="008257DF" w14:paraId="519C64F4" w14:textId="77777777" w:rsidTr="008257DF">
        <w:trPr>
          <w:trHeight w:val="300"/>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46494" w14:textId="77777777" w:rsidR="008257DF" w:rsidRPr="008257DF" w:rsidRDefault="008257DF" w:rsidP="008257DF">
            <w:pPr>
              <w:tabs>
                <w:tab w:val="left" w:pos="1425"/>
              </w:tabs>
            </w:pPr>
            <w:r w:rsidRPr="008257DF">
              <w:t>BAME</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3754F" w14:textId="77777777" w:rsidR="008257DF" w:rsidRPr="008257DF" w:rsidRDefault="008257DF" w:rsidP="008257DF">
            <w:pPr>
              <w:tabs>
                <w:tab w:val="left" w:pos="1425"/>
              </w:tabs>
            </w:pPr>
            <w:r w:rsidRPr="008257DF">
              <w:t>236</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80EC5" w14:textId="77777777" w:rsidR="008257DF" w:rsidRPr="008257DF" w:rsidRDefault="008257DF" w:rsidP="008257DF">
            <w:pPr>
              <w:tabs>
                <w:tab w:val="left" w:pos="1425"/>
              </w:tabs>
            </w:pPr>
            <w:r w:rsidRPr="008257DF">
              <w:t>101</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B88D1" w14:textId="77777777" w:rsidR="008257DF" w:rsidRPr="008257DF" w:rsidRDefault="008257DF" w:rsidP="008257DF">
            <w:pPr>
              <w:tabs>
                <w:tab w:val="left" w:pos="1425"/>
              </w:tabs>
            </w:pPr>
            <w:r w:rsidRPr="008257DF">
              <w:t>56%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C671C" w14:textId="77777777" w:rsidR="008257DF" w:rsidRPr="008257DF" w:rsidRDefault="008257DF" w:rsidP="008257DF">
            <w:pPr>
              <w:tabs>
                <w:tab w:val="left" w:pos="1425"/>
              </w:tabs>
            </w:pPr>
            <w:r w:rsidRPr="008257DF">
              <w:t>51%</w:t>
            </w:r>
          </w:p>
        </w:tc>
      </w:tr>
      <w:tr w:rsidR="008257DF" w:rsidRPr="008257DF" w14:paraId="0D199C35" w14:textId="77777777" w:rsidTr="008257DF">
        <w:trPr>
          <w:trHeight w:val="300"/>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9BEED" w14:textId="77777777" w:rsidR="008257DF" w:rsidRPr="008257DF" w:rsidRDefault="008257DF" w:rsidP="008257DF">
            <w:pPr>
              <w:tabs>
                <w:tab w:val="left" w:pos="1425"/>
              </w:tabs>
            </w:pPr>
            <w:r w:rsidRPr="008257DF">
              <w:t>White</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E8594" w14:textId="77777777" w:rsidR="008257DF" w:rsidRPr="008257DF" w:rsidRDefault="008257DF" w:rsidP="008257DF">
            <w:pPr>
              <w:tabs>
                <w:tab w:val="left" w:pos="1425"/>
              </w:tabs>
            </w:pPr>
            <w:r w:rsidRPr="008257DF">
              <w:t>184</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765CB" w14:textId="77777777" w:rsidR="008257DF" w:rsidRPr="008257DF" w:rsidRDefault="008257DF" w:rsidP="008257DF">
            <w:pPr>
              <w:tabs>
                <w:tab w:val="left" w:pos="1425"/>
              </w:tabs>
            </w:pPr>
            <w:r w:rsidRPr="008257DF">
              <w:t>96</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8ED4C" w14:textId="77777777" w:rsidR="008257DF" w:rsidRPr="008257DF" w:rsidRDefault="008257DF" w:rsidP="008257DF">
            <w:pPr>
              <w:tabs>
                <w:tab w:val="left" w:pos="1425"/>
              </w:tabs>
            </w:pPr>
            <w:r w:rsidRPr="008257DF">
              <w:t>44%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43A33" w14:textId="77777777" w:rsidR="008257DF" w:rsidRPr="008257DF" w:rsidRDefault="008257DF" w:rsidP="008257DF">
            <w:pPr>
              <w:tabs>
                <w:tab w:val="left" w:pos="1425"/>
              </w:tabs>
            </w:pPr>
            <w:r w:rsidRPr="008257DF">
              <w:t>49%</w:t>
            </w:r>
          </w:p>
        </w:tc>
      </w:tr>
      <w:tr w:rsidR="008257DF" w:rsidRPr="008257DF" w14:paraId="1845F9B4" w14:textId="77777777" w:rsidTr="008257DF">
        <w:trPr>
          <w:trHeight w:val="300"/>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A6363" w14:textId="77777777" w:rsidR="008257DF" w:rsidRPr="008257DF" w:rsidRDefault="008257DF" w:rsidP="008257DF">
            <w:pPr>
              <w:tabs>
                <w:tab w:val="left" w:pos="1425"/>
              </w:tabs>
            </w:pPr>
            <w:r w:rsidRPr="008257DF">
              <w:t>Disability</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3A768" w14:textId="77777777" w:rsidR="008257DF" w:rsidRPr="008257DF" w:rsidRDefault="008257DF" w:rsidP="008257DF">
            <w:pPr>
              <w:tabs>
                <w:tab w:val="left" w:pos="1425"/>
              </w:tabs>
            </w:pPr>
            <w:r w:rsidRPr="008257DF">
              <w:t>39</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9FD78" w14:textId="77777777" w:rsidR="008257DF" w:rsidRPr="008257DF" w:rsidRDefault="008257DF" w:rsidP="008257DF">
            <w:pPr>
              <w:tabs>
                <w:tab w:val="left" w:pos="1425"/>
              </w:tabs>
            </w:pPr>
            <w:r w:rsidRPr="008257DF">
              <w:t>9</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DE9BE" w14:textId="77777777" w:rsidR="008257DF" w:rsidRPr="008257DF" w:rsidRDefault="008257DF" w:rsidP="008257DF">
            <w:pPr>
              <w:tabs>
                <w:tab w:val="left" w:pos="1425"/>
              </w:tabs>
            </w:pPr>
            <w:r w:rsidRPr="008257DF">
              <w:t>9%</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CEF51" w14:textId="77777777" w:rsidR="008257DF" w:rsidRPr="008257DF" w:rsidRDefault="008257DF" w:rsidP="008257DF">
            <w:pPr>
              <w:tabs>
                <w:tab w:val="left" w:pos="1425"/>
              </w:tabs>
            </w:pPr>
            <w:r w:rsidRPr="008257DF">
              <w:t>5%</w:t>
            </w:r>
          </w:p>
        </w:tc>
      </w:tr>
      <w:tr w:rsidR="008257DF" w:rsidRPr="008257DF" w14:paraId="0702B44E" w14:textId="77777777" w:rsidTr="008257DF">
        <w:trPr>
          <w:trHeight w:val="315"/>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92ADB" w14:textId="77777777" w:rsidR="008257DF" w:rsidRPr="008257DF" w:rsidRDefault="008257DF" w:rsidP="008257DF">
            <w:pPr>
              <w:tabs>
                <w:tab w:val="left" w:pos="1425"/>
              </w:tabs>
              <w:rPr>
                <w:b/>
                <w:bCs/>
              </w:rPr>
            </w:pPr>
            <w:r w:rsidRPr="008257DF">
              <w:rPr>
                <w:b/>
                <w:bCs/>
              </w:rPr>
              <w:t>Total</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E03CD" w14:textId="77777777" w:rsidR="008257DF" w:rsidRPr="008257DF" w:rsidRDefault="008257DF" w:rsidP="008257DF">
            <w:pPr>
              <w:tabs>
                <w:tab w:val="left" w:pos="1425"/>
              </w:tabs>
              <w:rPr>
                <w:b/>
                <w:bCs/>
              </w:rPr>
            </w:pPr>
            <w:r w:rsidRPr="008257DF">
              <w:rPr>
                <w:b/>
                <w:bCs/>
              </w:rPr>
              <w:t>421</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4AD0F" w14:textId="77777777" w:rsidR="008257DF" w:rsidRPr="008257DF" w:rsidRDefault="008257DF" w:rsidP="008257DF">
            <w:pPr>
              <w:tabs>
                <w:tab w:val="left" w:pos="1425"/>
              </w:tabs>
              <w:rPr>
                <w:b/>
                <w:bCs/>
              </w:rPr>
            </w:pPr>
            <w:r w:rsidRPr="008257DF">
              <w:rPr>
                <w:b/>
                <w:bCs/>
              </w:rPr>
              <w:t>197</w:t>
            </w:r>
          </w:p>
        </w:tc>
        <w:tc>
          <w:tcPr>
            <w:tcW w:w="1340" w:type="dxa"/>
            <w:tcMar>
              <w:top w:w="0" w:type="dxa"/>
              <w:left w:w="108" w:type="dxa"/>
              <w:bottom w:w="0" w:type="dxa"/>
              <w:right w:w="108" w:type="dxa"/>
            </w:tcMar>
            <w:vAlign w:val="center"/>
            <w:hideMark/>
          </w:tcPr>
          <w:p w14:paraId="640FED44" w14:textId="77777777" w:rsidR="008257DF" w:rsidRPr="008257DF" w:rsidRDefault="008257DF" w:rsidP="008257DF">
            <w:pPr>
              <w:tabs>
                <w:tab w:val="left" w:pos="1425"/>
              </w:tabs>
            </w:pPr>
            <w:r w:rsidRPr="008257DF">
              <w:t> </w:t>
            </w:r>
          </w:p>
        </w:tc>
        <w:tc>
          <w:tcPr>
            <w:tcW w:w="1620" w:type="dxa"/>
            <w:tcMar>
              <w:top w:w="0" w:type="dxa"/>
              <w:left w:w="108" w:type="dxa"/>
              <w:bottom w:w="0" w:type="dxa"/>
              <w:right w:w="108" w:type="dxa"/>
            </w:tcMar>
            <w:vAlign w:val="center"/>
            <w:hideMark/>
          </w:tcPr>
          <w:p w14:paraId="520E3B38" w14:textId="77777777" w:rsidR="008257DF" w:rsidRPr="008257DF" w:rsidRDefault="008257DF" w:rsidP="008257DF">
            <w:pPr>
              <w:tabs>
                <w:tab w:val="left" w:pos="1425"/>
              </w:tabs>
            </w:pPr>
            <w:r w:rsidRPr="008257DF">
              <w:t> </w:t>
            </w:r>
          </w:p>
        </w:tc>
      </w:tr>
    </w:tbl>
    <w:p w14:paraId="1AFF8BDF" w14:textId="77777777" w:rsidR="00F52999" w:rsidRPr="00B53437" w:rsidRDefault="00F52999" w:rsidP="00F52999"/>
    <w:p w14:paraId="278E0A12" w14:textId="77777777" w:rsidR="00B26743" w:rsidRDefault="00B26743" w:rsidP="00A55C91">
      <w:pPr>
        <w:rPr>
          <w:color w:val="FF6600"/>
          <w:sz w:val="32"/>
          <w:szCs w:val="32"/>
        </w:rPr>
      </w:pPr>
    </w:p>
    <w:p w14:paraId="0F252DA2" w14:textId="77777777" w:rsidR="00A55C91" w:rsidRDefault="00A55C91" w:rsidP="00A55C91">
      <w:pPr>
        <w:rPr>
          <w:color w:val="3E007A"/>
          <w:sz w:val="28"/>
          <w:szCs w:val="28"/>
        </w:rPr>
      </w:pPr>
      <w:r>
        <w:rPr>
          <w:color w:val="FF6600"/>
          <w:sz w:val="32"/>
          <w:szCs w:val="32"/>
        </w:rPr>
        <w:t>Objecti</w:t>
      </w:r>
      <w:r w:rsidR="00D04F2B">
        <w:rPr>
          <w:color w:val="FF6600"/>
          <w:sz w:val="32"/>
          <w:szCs w:val="32"/>
        </w:rPr>
        <w:t>ve 3</w:t>
      </w:r>
      <w:r>
        <w:rPr>
          <w:color w:val="FF6600"/>
          <w:sz w:val="32"/>
          <w:szCs w:val="32"/>
        </w:rPr>
        <w:t xml:space="preserve"> – </w:t>
      </w:r>
      <w:r w:rsidR="004726EB" w:rsidRPr="004726EB">
        <w:rPr>
          <w:color w:val="3E007A"/>
          <w:sz w:val="28"/>
          <w:szCs w:val="28"/>
        </w:rPr>
        <w:t>Promote and Celebrate the Diversity of our Borough and Foster Community Cohesion</w:t>
      </w:r>
    </w:p>
    <w:p w14:paraId="04B83C97" w14:textId="77777777" w:rsidR="00963100" w:rsidRDefault="00963100" w:rsidP="00A55C91">
      <w:pPr>
        <w:rPr>
          <w:color w:val="3E007A"/>
          <w:sz w:val="28"/>
          <w:szCs w:val="28"/>
        </w:rPr>
      </w:pPr>
    </w:p>
    <w:tbl>
      <w:tblPr>
        <w:tblW w:w="2992" w:type="dxa"/>
        <w:tblInd w:w="93" w:type="dxa"/>
        <w:tblLook w:val="04A0" w:firstRow="1" w:lastRow="0" w:firstColumn="1" w:lastColumn="0" w:noHBand="0" w:noVBand="1"/>
      </w:tblPr>
      <w:tblGrid>
        <w:gridCol w:w="2000"/>
        <w:gridCol w:w="992"/>
      </w:tblGrid>
      <w:tr w:rsidR="00963100" w:rsidRPr="00963100" w14:paraId="7CB7CFD5" w14:textId="77777777" w:rsidTr="00963100">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0B3CE39D" w14:textId="77777777" w:rsidR="00963100" w:rsidRPr="00963100" w:rsidRDefault="00963100" w:rsidP="00963100">
            <w:r w:rsidRPr="00963100">
              <w:t>Green</w:t>
            </w:r>
          </w:p>
        </w:tc>
        <w:tc>
          <w:tcPr>
            <w:tcW w:w="992" w:type="dxa"/>
            <w:tcBorders>
              <w:top w:val="single" w:sz="4" w:space="0" w:color="auto"/>
              <w:left w:val="nil"/>
              <w:bottom w:val="single" w:sz="4" w:space="0" w:color="auto"/>
              <w:right w:val="single" w:sz="4" w:space="0" w:color="auto"/>
            </w:tcBorders>
            <w:shd w:val="clear" w:color="auto" w:fill="00CC00"/>
            <w:noWrap/>
            <w:vAlign w:val="bottom"/>
            <w:hideMark/>
          </w:tcPr>
          <w:p w14:paraId="39F4BB07" w14:textId="32968BD6" w:rsidR="00963100" w:rsidRPr="00963100" w:rsidRDefault="00963100" w:rsidP="00963100">
            <w:r>
              <w:t>1</w:t>
            </w:r>
          </w:p>
        </w:tc>
      </w:tr>
      <w:tr w:rsidR="00963100" w:rsidRPr="00963100" w14:paraId="682FC782" w14:textId="77777777" w:rsidTr="00963100">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32AD2BD8" w14:textId="77777777" w:rsidR="00963100" w:rsidRPr="00963100" w:rsidRDefault="00963100" w:rsidP="00963100">
            <w:r w:rsidRPr="00963100">
              <w:t>Amber</w:t>
            </w:r>
          </w:p>
        </w:tc>
        <w:tc>
          <w:tcPr>
            <w:tcW w:w="992" w:type="dxa"/>
            <w:tcBorders>
              <w:top w:val="single" w:sz="4" w:space="0" w:color="auto"/>
              <w:left w:val="nil"/>
              <w:bottom w:val="single" w:sz="4" w:space="0" w:color="auto"/>
              <w:right w:val="single" w:sz="4" w:space="0" w:color="auto"/>
            </w:tcBorders>
            <w:shd w:val="clear" w:color="auto" w:fill="FF9900"/>
            <w:noWrap/>
            <w:vAlign w:val="bottom"/>
            <w:hideMark/>
          </w:tcPr>
          <w:p w14:paraId="3877D4E9" w14:textId="359ED985" w:rsidR="00963100" w:rsidRPr="00963100" w:rsidRDefault="00963100" w:rsidP="00963100">
            <w:r>
              <w:t>0</w:t>
            </w:r>
          </w:p>
        </w:tc>
      </w:tr>
      <w:tr w:rsidR="00963100" w:rsidRPr="00963100" w14:paraId="1710F364" w14:textId="77777777" w:rsidTr="00963100">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C05B067" w14:textId="77777777" w:rsidR="00963100" w:rsidRPr="00963100" w:rsidRDefault="00963100" w:rsidP="00963100">
            <w:r w:rsidRPr="00963100">
              <w:t>Red</w:t>
            </w: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514D21A7" w14:textId="18E6CCBC" w:rsidR="00963100" w:rsidRPr="00963100" w:rsidRDefault="00963100" w:rsidP="00963100">
            <w:r>
              <w:t>0</w:t>
            </w:r>
          </w:p>
        </w:tc>
      </w:tr>
      <w:tr w:rsidR="00963100" w:rsidRPr="00963100" w14:paraId="7BEA3A04" w14:textId="77777777" w:rsidTr="00963100">
        <w:trPr>
          <w:trHeight w:val="155"/>
        </w:trPr>
        <w:tc>
          <w:tcPr>
            <w:tcW w:w="2992" w:type="dxa"/>
            <w:gridSpan w:val="2"/>
            <w:tcBorders>
              <w:top w:val="nil"/>
              <w:left w:val="single" w:sz="4" w:space="0" w:color="auto"/>
              <w:bottom w:val="single" w:sz="4" w:space="0" w:color="auto"/>
              <w:right w:val="single" w:sz="4" w:space="0" w:color="auto"/>
            </w:tcBorders>
            <w:noWrap/>
            <w:vAlign w:val="bottom"/>
            <w:hideMark/>
          </w:tcPr>
          <w:p w14:paraId="0055F024" w14:textId="77777777" w:rsidR="00963100" w:rsidRPr="00963100" w:rsidRDefault="00963100" w:rsidP="00963100">
            <w:r w:rsidRPr="00963100">
              <w:t> </w:t>
            </w:r>
          </w:p>
        </w:tc>
      </w:tr>
      <w:tr w:rsidR="00963100" w:rsidRPr="00963100" w14:paraId="41CCB635" w14:textId="77777777" w:rsidTr="00963100">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63C09A59" w14:textId="77777777" w:rsidR="00963100" w:rsidRPr="00963100" w:rsidRDefault="00963100" w:rsidP="00963100">
            <w:r w:rsidRPr="00963100">
              <w:t>Overall Status</w:t>
            </w:r>
          </w:p>
        </w:tc>
        <w:tc>
          <w:tcPr>
            <w:tcW w:w="992" w:type="dxa"/>
            <w:tcBorders>
              <w:top w:val="nil"/>
              <w:left w:val="nil"/>
              <w:bottom w:val="single" w:sz="4" w:space="0" w:color="auto"/>
              <w:right w:val="single" w:sz="4" w:space="0" w:color="auto"/>
            </w:tcBorders>
            <w:noWrap/>
            <w:vAlign w:val="bottom"/>
            <w:hideMark/>
          </w:tcPr>
          <w:p w14:paraId="6EEE29F6" w14:textId="31233EC4" w:rsidR="00963100" w:rsidRPr="00963100" w:rsidRDefault="00963100" w:rsidP="00963100">
            <w:pPr>
              <w:rPr>
                <w:b/>
              </w:rPr>
            </w:pPr>
            <w:r>
              <w:rPr>
                <w:b/>
              </w:rPr>
              <w:t>G</w:t>
            </w:r>
          </w:p>
        </w:tc>
      </w:tr>
    </w:tbl>
    <w:p w14:paraId="20545235" w14:textId="77777777" w:rsidR="00B26743" w:rsidRDefault="00B26743" w:rsidP="004726EB"/>
    <w:p w14:paraId="5DE27120" w14:textId="3C04D8E9" w:rsidR="00B26743" w:rsidRDefault="00B26743" w:rsidP="004726EB">
      <w:r>
        <w:t xml:space="preserve">As and extremely diverse borough community cohesion is </w:t>
      </w:r>
      <w:r w:rsidR="00AA7635">
        <w:t>integral</w:t>
      </w:r>
      <w:r>
        <w:t xml:space="preserve"> in all that we do. We set out t</w:t>
      </w:r>
      <w:r w:rsidR="008C0FB6">
        <w:t xml:space="preserve">o increase the amount </w:t>
      </w:r>
      <w:r>
        <w:t>of those who felt that people from different backgrounds get on well together in the area. In order to support this objective, we agreed an annual diversi</w:t>
      </w:r>
      <w:r w:rsidR="008C0FB6">
        <w:t xml:space="preserve">ty </w:t>
      </w:r>
      <w:r w:rsidR="00AA7635">
        <w:t>calendar</w:t>
      </w:r>
      <w:r w:rsidR="008C0FB6">
        <w:t xml:space="preserve"> for 2017/18. </w:t>
      </w:r>
      <w:r>
        <w:t xml:space="preserve">Diversity Champions, the staff Making a Difference group, partners, </w:t>
      </w:r>
      <w:r w:rsidR="00AA7635">
        <w:t>stakeholders</w:t>
      </w:r>
      <w:r>
        <w:t xml:space="preserve"> and the VCS </w:t>
      </w:r>
      <w:r w:rsidR="008C0FB6">
        <w:t xml:space="preserve">worked together </w:t>
      </w:r>
      <w:r>
        <w:t>to organise, deliver and</w:t>
      </w:r>
      <w:r w:rsidR="00A76A1F">
        <w:t xml:space="preserve"> celebrate the events including: a</w:t>
      </w:r>
      <w:r>
        <w:t xml:space="preserve">n </w:t>
      </w:r>
      <w:r w:rsidRPr="00252A62">
        <w:t>event</w:t>
      </w:r>
      <w:r>
        <w:t xml:space="preserve"> on gender violence and domestic abuse </w:t>
      </w:r>
      <w:r w:rsidR="00A76A1F">
        <w:t>in November 2017 t</w:t>
      </w:r>
      <w:r>
        <w:t xml:space="preserve">o </w:t>
      </w:r>
      <w:r w:rsidR="008C0FB6">
        <w:t>coincide wi</w:t>
      </w:r>
      <w:r w:rsidR="00A76A1F">
        <w:t xml:space="preserve">th White Ribbon Day; celebrating </w:t>
      </w:r>
      <w:r w:rsidRPr="00252A62">
        <w:t>LGBT history Month in February</w:t>
      </w:r>
      <w:r w:rsidR="00A76A1F">
        <w:t xml:space="preserve"> 2018</w:t>
      </w:r>
      <w:r w:rsidRPr="00252A62">
        <w:t xml:space="preserve"> and </w:t>
      </w:r>
      <w:r w:rsidR="00A76A1F">
        <w:t xml:space="preserve">organising a </w:t>
      </w:r>
      <w:r w:rsidRPr="00252A62">
        <w:t>Thrive Harrow Community Event on</w:t>
      </w:r>
      <w:r w:rsidR="00A76A1F">
        <w:t xml:space="preserve"> reducing the stigma of mental health</w:t>
      </w:r>
      <w:r>
        <w:t xml:space="preserve"> in January </w:t>
      </w:r>
      <w:r w:rsidRPr="00252A62">
        <w:t xml:space="preserve">to coincide with Time to Talk day </w:t>
      </w:r>
      <w:r>
        <w:t>on 1</w:t>
      </w:r>
      <w:r w:rsidRPr="00B26743">
        <w:rPr>
          <w:vertAlign w:val="superscript"/>
        </w:rPr>
        <w:t>st</w:t>
      </w:r>
      <w:r>
        <w:t xml:space="preserve"> February 2018.</w:t>
      </w:r>
    </w:p>
    <w:p w14:paraId="21022B41" w14:textId="77777777" w:rsidR="00A76A1F" w:rsidRDefault="00A76A1F" w:rsidP="004726EB"/>
    <w:p w14:paraId="5E380677" w14:textId="5F35638B" w:rsidR="00A76A1F" w:rsidRPr="00A76A1F" w:rsidRDefault="00A76A1F" w:rsidP="00A76A1F">
      <w:r>
        <w:t>The Council also organised event</w:t>
      </w:r>
      <w:r w:rsidR="00281982">
        <w:t>s</w:t>
      </w:r>
      <w:r>
        <w:t xml:space="preserve"> for ‘Remembering Sebrenica’ – the larges</w:t>
      </w:r>
      <w:r w:rsidR="00281982">
        <w:t>t genocide in Europe since the Second World W</w:t>
      </w:r>
      <w:r w:rsidR="001066E3">
        <w:t xml:space="preserve">ar and </w:t>
      </w:r>
      <w:r w:rsidR="0016341A">
        <w:t>Holocaust</w:t>
      </w:r>
      <w:r w:rsidR="001066E3">
        <w:t xml:space="preserve"> M</w:t>
      </w:r>
      <w:r>
        <w:t xml:space="preserve">emorial </w:t>
      </w:r>
      <w:r w:rsidR="001066E3">
        <w:t>D</w:t>
      </w:r>
      <w:r>
        <w:t xml:space="preserve">ay. </w:t>
      </w:r>
      <w:r w:rsidR="00281982">
        <w:t>We were also</w:t>
      </w:r>
      <w:r w:rsidRPr="00281982">
        <w:t xml:space="preserve"> pleased to </w:t>
      </w:r>
      <w:r w:rsidR="00281982">
        <w:t>be able to provide match-</w:t>
      </w:r>
      <w:r w:rsidRPr="00281982">
        <w:t>fund</w:t>
      </w:r>
      <w:r w:rsidR="00281982">
        <w:t>ing to</w:t>
      </w:r>
      <w:r w:rsidRPr="00281982">
        <w:t xml:space="preserve"> </w:t>
      </w:r>
      <w:r>
        <w:t xml:space="preserve">the Wealdstone Active Community </w:t>
      </w:r>
      <w:r w:rsidR="00281982">
        <w:t xml:space="preserve">group </w:t>
      </w:r>
      <w:r>
        <w:t xml:space="preserve">to put on three </w:t>
      </w:r>
      <w:r w:rsidR="00281982">
        <w:t>successful</w:t>
      </w:r>
      <w:r w:rsidR="00281982" w:rsidRPr="00A76A1F">
        <w:t xml:space="preserve"> </w:t>
      </w:r>
      <w:r>
        <w:t>community events</w:t>
      </w:r>
      <w:r w:rsidR="00281982">
        <w:t>: a St George’s Day Festival, a</w:t>
      </w:r>
      <w:r w:rsidRPr="00A76A1F">
        <w:t xml:space="preserve"> Summer Festival and a Carol Concert</w:t>
      </w:r>
      <w:r w:rsidR="00281982">
        <w:t xml:space="preserve"> as part of a prototype crowdfunding project.</w:t>
      </w:r>
    </w:p>
    <w:p w14:paraId="531AC977" w14:textId="77777777" w:rsidR="004B68DA" w:rsidRDefault="004B68DA" w:rsidP="004726EB"/>
    <w:p w14:paraId="45AFC933" w14:textId="77777777" w:rsidR="00A55C91" w:rsidRDefault="004B68DA" w:rsidP="00A55C91">
      <w:r>
        <w:lastRenderedPageBreak/>
        <w:t xml:space="preserve">We are taking active steps to ensure hate crime in the borough does not escalate and that there are effective third party reporting channels. </w:t>
      </w:r>
      <w:r w:rsidRPr="00252A62">
        <w:t>Following</w:t>
      </w:r>
      <w:r w:rsidR="008C0FB6">
        <w:t xml:space="preserve"> the Manchester, London Bridge and</w:t>
      </w:r>
      <w:r w:rsidRPr="00252A62">
        <w:t xml:space="preserve"> Finsbury Park attacks, a community l</w:t>
      </w:r>
      <w:r w:rsidR="008C0FB6">
        <w:t xml:space="preserve">eaders meeting was held which </w:t>
      </w:r>
      <w:r w:rsidR="00AA7635">
        <w:t xml:space="preserve">involved </w:t>
      </w:r>
      <w:r w:rsidR="00AA7635" w:rsidRPr="00252A62">
        <w:t>the</w:t>
      </w:r>
      <w:r w:rsidRPr="00252A62">
        <w:t xml:space="preserve"> Lea</w:t>
      </w:r>
      <w:r w:rsidR="008C0FB6">
        <w:t xml:space="preserve">der, CEO &amp; Borough Commander where </w:t>
      </w:r>
      <w:r w:rsidR="00AA7635">
        <w:t xml:space="preserve">they </w:t>
      </w:r>
      <w:r w:rsidR="00AA7635" w:rsidRPr="00252A62">
        <w:t>talked</w:t>
      </w:r>
      <w:r>
        <w:t xml:space="preserve"> about hate crime and</w:t>
      </w:r>
      <w:r w:rsidR="008C0FB6">
        <w:t xml:space="preserve"> voiced</w:t>
      </w:r>
      <w:r>
        <w:t xml:space="preserve"> that it</w:t>
      </w:r>
      <w:r w:rsidRPr="00252A62">
        <w:t xml:space="preserve"> would not be tolerated in Harrow. Key messages regardi</w:t>
      </w:r>
      <w:r>
        <w:t>ng the importance of reporting hate crime</w:t>
      </w:r>
      <w:r w:rsidRPr="00252A62">
        <w:t xml:space="preserve"> were also given and this</w:t>
      </w:r>
      <w:r>
        <w:t xml:space="preserve"> was followed up by a press r</w:t>
      </w:r>
      <w:r w:rsidRPr="00252A62">
        <w:t>elease. Community Leaders were encouraged to share this message with their communities/members/congregations.</w:t>
      </w:r>
    </w:p>
    <w:p w14:paraId="03C683BF" w14:textId="77777777" w:rsidR="004B68DA" w:rsidRDefault="004B68DA" w:rsidP="00A55C91"/>
    <w:p w14:paraId="5C302921" w14:textId="1FF12BB7" w:rsidR="00E04B6E" w:rsidRDefault="004B68DA" w:rsidP="00A55C91">
      <w:r>
        <w:t>Ongoing work to e</w:t>
      </w:r>
      <w:r w:rsidRPr="00252A62">
        <w:t>nsure the Prevent Duty requirements (under the Counter Terroris</w:t>
      </w:r>
      <w:r>
        <w:t>m and Security Act 2015) continues to t</w:t>
      </w:r>
      <w:r w:rsidR="00E04B6E">
        <w:t xml:space="preserve">ake place with </w:t>
      </w:r>
      <w:r w:rsidR="008257DF">
        <w:t xml:space="preserve">over 1500 people trained by the Council using the Home Office </w:t>
      </w:r>
      <w:r w:rsidR="00E04B6E">
        <w:t xml:space="preserve">WRAP </w:t>
      </w:r>
      <w:r w:rsidR="008257DF">
        <w:t>package</w:t>
      </w:r>
      <w:r w:rsidR="00E04B6E">
        <w:t xml:space="preserve">, Chanel Panel and </w:t>
      </w:r>
      <w:r w:rsidR="001066E3">
        <w:t>the delivery of</w:t>
      </w:r>
      <w:r w:rsidR="00E04B6E" w:rsidRPr="00252A62">
        <w:t xml:space="preserve"> Equaliteach c</w:t>
      </w:r>
      <w:r w:rsidR="008257DF">
        <w:t>ritical thinking project to</w:t>
      </w:r>
      <w:r w:rsidR="001066E3">
        <w:t xml:space="preserve"> schools in the borough</w:t>
      </w:r>
      <w:r w:rsidR="00E04B6E" w:rsidRPr="00252A62">
        <w:t xml:space="preserve">. </w:t>
      </w:r>
    </w:p>
    <w:p w14:paraId="09108907" w14:textId="77777777" w:rsidR="001066E3" w:rsidRDefault="001066E3" w:rsidP="00A55C91"/>
    <w:p w14:paraId="202A5507" w14:textId="77777777" w:rsidR="00DB18CD" w:rsidRPr="00252A62" w:rsidRDefault="00DB18CD" w:rsidP="00DB18CD"/>
    <w:p w14:paraId="401403D0" w14:textId="77777777" w:rsidR="00785967" w:rsidRDefault="00785967">
      <w:pPr>
        <w:rPr>
          <w:color w:val="FF6600"/>
          <w:sz w:val="32"/>
          <w:szCs w:val="32"/>
        </w:rPr>
      </w:pPr>
      <w:r>
        <w:rPr>
          <w:color w:val="FF6600"/>
          <w:sz w:val="32"/>
          <w:szCs w:val="32"/>
        </w:rPr>
        <w:br w:type="page"/>
      </w:r>
    </w:p>
    <w:p w14:paraId="6CEB85C3" w14:textId="69B7678B" w:rsidR="00D04F2B" w:rsidRDefault="00F53852" w:rsidP="004726EB">
      <w:pPr>
        <w:pStyle w:val="ListParagraph"/>
        <w:numPr>
          <w:ilvl w:val="0"/>
          <w:numId w:val="15"/>
        </w:numPr>
        <w:rPr>
          <w:color w:val="7030A0"/>
          <w:sz w:val="32"/>
          <w:szCs w:val="32"/>
        </w:rPr>
      </w:pPr>
      <w:r w:rsidRPr="00111BAD">
        <w:rPr>
          <w:color w:val="7030A0"/>
          <w:sz w:val="32"/>
          <w:szCs w:val="32"/>
        </w:rPr>
        <w:lastRenderedPageBreak/>
        <w:t>Pr</w:t>
      </w:r>
      <w:r w:rsidR="004726EB" w:rsidRPr="00111BAD">
        <w:rPr>
          <w:color w:val="7030A0"/>
          <w:sz w:val="32"/>
          <w:szCs w:val="32"/>
        </w:rPr>
        <w:t xml:space="preserve">oposed </w:t>
      </w:r>
      <w:r w:rsidR="00111BAD">
        <w:rPr>
          <w:color w:val="7030A0"/>
          <w:sz w:val="32"/>
          <w:szCs w:val="32"/>
        </w:rPr>
        <w:t xml:space="preserve">priorities for </w:t>
      </w:r>
      <w:r w:rsidR="004726EB" w:rsidRPr="00111BAD">
        <w:rPr>
          <w:color w:val="7030A0"/>
          <w:sz w:val="32"/>
          <w:szCs w:val="32"/>
        </w:rPr>
        <w:t>the 2018/19 Action Plan</w:t>
      </w:r>
    </w:p>
    <w:p w14:paraId="02C0BC0C" w14:textId="77777777" w:rsidR="00C70D91" w:rsidRDefault="00C70D91" w:rsidP="00C70D91">
      <w:pPr>
        <w:rPr>
          <w:color w:val="7030A0"/>
          <w:sz w:val="32"/>
          <w:szCs w:val="32"/>
        </w:rPr>
      </w:pPr>
    </w:p>
    <w:p w14:paraId="22776FF8" w14:textId="49612D0E" w:rsidR="004726EB" w:rsidRDefault="00C70D91" w:rsidP="004726EB">
      <w:pPr>
        <w:rPr>
          <w:szCs w:val="32"/>
        </w:rPr>
      </w:pPr>
      <w:r w:rsidRPr="00C70D91">
        <w:rPr>
          <w:szCs w:val="32"/>
        </w:rPr>
        <w:t xml:space="preserve">Based on the data and evidence </w:t>
      </w:r>
      <w:r>
        <w:rPr>
          <w:szCs w:val="32"/>
        </w:rPr>
        <w:t>in this report and what we know about the priorities for the Council for 2018/19</w:t>
      </w:r>
      <w:r w:rsidR="00777E7D">
        <w:rPr>
          <w:szCs w:val="32"/>
        </w:rPr>
        <w:t>,</w:t>
      </w:r>
      <w:r>
        <w:rPr>
          <w:szCs w:val="32"/>
        </w:rPr>
        <w:t xml:space="preserve"> the following priorities are proposed for the 2018/19 action plan. The intention is for the 2018/19 action plan to focus on a small</w:t>
      </w:r>
      <w:r w:rsidR="00EB23E8">
        <w:rPr>
          <w:szCs w:val="32"/>
        </w:rPr>
        <w:t>er</w:t>
      </w:r>
      <w:r>
        <w:rPr>
          <w:szCs w:val="32"/>
        </w:rPr>
        <w:t xml:space="preserve"> number of projects where we want to make a concerted difference that year. </w:t>
      </w:r>
      <w:r w:rsidR="00AA4355">
        <w:rPr>
          <w:szCs w:val="32"/>
        </w:rPr>
        <w:t xml:space="preserve">It is these projects whose progress will be monitored by the Corporate Equalities Group on a quarterly basis. </w:t>
      </w:r>
      <w:r>
        <w:rPr>
          <w:szCs w:val="32"/>
        </w:rPr>
        <w:t xml:space="preserve">Other mainstreamed equalities and diversity work will continue within the services and </w:t>
      </w:r>
      <w:r w:rsidR="00AA4355">
        <w:rPr>
          <w:szCs w:val="32"/>
        </w:rPr>
        <w:t xml:space="preserve">be monitored via </w:t>
      </w:r>
      <w:r>
        <w:rPr>
          <w:szCs w:val="32"/>
        </w:rPr>
        <w:t>their own service p</w:t>
      </w:r>
      <w:r w:rsidR="00AA4355">
        <w:rPr>
          <w:szCs w:val="32"/>
        </w:rPr>
        <w:t>l</w:t>
      </w:r>
      <w:r>
        <w:rPr>
          <w:szCs w:val="32"/>
        </w:rPr>
        <w:t xml:space="preserve">ans and </w:t>
      </w:r>
      <w:r w:rsidR="00AA4355">
        <w:rPr>
          <w:szCs w:val="32"/>
        </w:rPr>
        <w:t>strategies. We will capture relevant information</w:t>
      </w:r>
      <w:r>
        <w:rPr>
          <w:szCs w:val="32"/>
        </w:rPr>
        <w:t xml:space="preserve"> via </w:t>
      </w:r>
      <w:r w:rsidR="00AA4355">
        <w:rPr>
          <w:szCs w:val="32"/>
        </w:rPr>
        <w:t>a revised</w:t>
      </w:r>
      <w:r>
        <w:rPr>
          <w:szCs w:val="32"/>
        </w:rPr>
        <w:t xml:space="preserve"> basket of indicators</w:t>
      </w:r>
      <w:r w:rsidR="00EB23E8">
        <w:rPr>
          <w:szCs w:val="32"/>
        </w:rPr>
        <w:t xml:space="preserve"> and case studies</w:t>
      </w:r>
      <w:r>
        <w:rPr>
          <w:szCs w:val="32"/>
        </w:rPr>
        <w:t xml:space="preserve"> </w:t>
      </w:r>
      <w:r w:rsidR="00AA4355">
        <w:rPr>
          <w:szCs w:val="32"/>
        </w:rPr>
        <w:t xml:space="preserve">that </w:t>
      </w:r>
      <w:r>
        <w:rPr>
          <w:szCs w:val="32"/>
        </w:rPr>
        <w:t>we will use in the annual report to demonstrate progress against our Corporate Equality Objectives</w:t>
      </w:r>
      <w:r w:rsidR="00EB23E8">
        <w:rPr>
          <w:szCs w:val="32"/>
        </w:rPr>
        <w:t>.</w:t>
      </w:r>
    </w:p>
    <w:p w14:paraId="2078F512" w14:textId="77777777" w:rsidR="00EB23E8" w:rsidRDefault="00EB23E8" w:rsidP="004726EB">
      <w:pPr>
        <w:rPr>
          <w:sz w:val="32"/>
          <w:szCs w:val="32"/>
        </w:rPr>
      </w:pPr>
    </w:p>
    <w:tbl>
      <w:tblPr>
        <w:tblStyle w:val="TableGrid"/>
        <w:tblW w:w="0" w:type="auto"/>
        <w:tblLook w:val="04A0" w:firstRow="1" w:lastRow="0" w:firstColumn="1" w:lastColumn="0" w:noHBand="0" w:noVBand="1"/>
      </w:tblPr>
      <w:tblGrid>
        <w:gridCol w:w="14894"/>
      </w:tblGrid>
      <w:tr w:rsidR="004726EB" w14:paraId="7419FC6D" w14:textId="77777777" w:rsidTr="004726EB">
        <w:tc>
          <w:tcPr>
            <w:tcW w:w="14894" w:type="dxa"/>
          </w:tcPr>
          <w:p w14:paraId="2D501506" w14:textId="77777777" w:rsidR="004726EB" w:rsidRDefault="00D04F2B" w:rsidP="004726EB">
            <w:pPr>
              <w:rPr>
                <w:color w:val="3E007A"/>
                <w:sz w:val="28"/>
                <w:szCs w:val="28"/>
              </w:rPr>
            </w:pPr>
            <w:r>
              <w:rPr>
                <w:color w:val="FF6600"/>
                <w:sz w:val="32"/>
                <w:szCs w:val="32"/>
              </w:rPr>
              <w:t xml:space="preserve">Objective 1 – </w:t>
            </w:r>
            <w:r w:rsidRPr="00663450">
              <w:rPr>
                <w:color w:val="3E007A"/>
                <w:sz w:val="28"/>
                <w:szCs w:val="28"/>
              </w:rPr>
              <w:t>An inclusive workforce that feels valued, respected and reflects our community</w:t>
            </w:r>
          </w:p>
          <w:p w14:paraId="5B0F46BF" w14:textId="534BF88F" w:rsidR="00161CE1" w:rsidRPr="00D04F2B" w:rsidRDefault="00161CE1" w:rsidP="00161CE1">
            <w:pPr>
              <w:rPr>
                <w:color w:val="3E007A"/>
                <w:sz w:val="28"/>
                <w:szCs w:val="28"/>
              </w:rPr>
            </w:pPr>
          </w:p>
        </w:tc>
      </w:tr>
      <w:tr w:rsidR="004726EB" w14:paraId="2BFDFA8C" w14:textId="77777777" w:rsidTr="004726EB">
        <w:tc>
          <w:tcPr>
            <w:tcW w:w="14894" w:type="dxa"/>
          </w:tcPr>
          <w:p w14:paraId="47B675E1" w14:textId="04A7AE88" w:rsidR="00E36C58" w:rsidRDefault="00F53852" w:rsidP="004726EB">
            <w:pPr>
              <w:rPr>
                <w:i/>
                <w:sz w:val="32"/>
                <w:szCs w:val="32"/>
              </w:rPr>
            </w:pPr>
            <w:r w:rsidRPr="00F53852">
              <w:rPr>
                <w:i/>
                <w:sz w:val="32"/>
                <w:szCs w:val="32"/>
              </w:rPr>
              <w:t>Disability</w:t>
            </w:r>
          </w:p>
          <w:p w14:paraId="2E89CF47" w14:textId="74C19497" w:rsidR="00E36C58" w:rsidRDefault="00373992" w:rsidP="004726EB">
            <w:r>
              <w:t>Improve our processes as a council to achieve Disability Confident accreditation</w:t>
            </w:r>
            <w:r w:rsidR="00E36C58" w:rsidRPr="00161CE1">
              <w:t>.</w:t>
            </w:r>
          </w:p>
          <w:p w14:paraId="23F5E925" w14:textId="7D472CAC" w:rsidR="007B4858" w:rsidRPr="00161CE1" w:rsidRDefault="007B4858" w:rsidP="004726EB"/>
        </w:tc>
      </w:tr>
      <w:tr w:rsidR="004726EB" w14:paraId="0BD6EA5F" w14:textId="77777777" w:rsidTr="004726EB">
        <w:tc>
          <w:tcPr>
            <w:tcW w:w="14894" w:type="dxa"/>
          </w:tcPr>
          <w:p w14:paraId="248B5586" w14:textId="77777777" w:rsidR="004726EB" w:rsidRDefault="00F53852" w:rsidP="004726EB">
            <w:pPr>
              <w:rPr>
                <w:i/>
                <w:sz w:val="32"/>
                <w:szCs w:val="32"/>
              </w:rPr>
            </w:pPr>
            <w:r w:rsidRPr="00F53852">
              <w:rPr>
                <w:i/>
                <w:sz w:val="32"/>
                <w:szCs w:val="32"/>
              </w:rPr>
              <w:t>Mental Health</w:t>
            </w:r>
          </w:p>
          <w:p w14:paraId="1C3BF029" w14:textId="5A5DB1EC" w:rsidR="00161CE1" w:rsidRDefault="00373992" w:rsidP="00161CE1">
            <w:pPr>
              <w:autoSpaceDE w:val="0"/>
              <w:autoSpaceDN w:val="0"/>
              <w:adjustRightInd w:val="0"/>
              <w:rPr>
                <w:rFonts w:eastAsia="Calibri"/>
                <w:lang w:eastAsia="en-GB"/>
              </w:rPr>
            </w:pPr>
            <w:r>
              <w:rPr>
                <w:rFonts w:eastAsia="Calibri"/>
                <w:lang w:eastAsia="en-GB"/>
              </w:rPr>
              <w:t>Focus on reducing the stigma of mental health in the work place and work with the Youth Parliament on young people and mental health – the top issue identified in the Young Harrow Foundation’s Youth Needs Analysis.</w:t>
            </w:r>
          </w:p>
          <w:p w14:paraId="498198FC" w14:textId="15F0D733" w:rsidR="007B4858" w:rsidRPr="00F53852" w:rsidRDefault="007B4858" w:rsidP="00161CE1">
            <w:pPr>
              <w:autoSpaceDE w:val="0"/>
              <w:autoSpaceDN w:val="0"/>
              <w:adjustRightInd w:val="0"/>
              <w:rPr>
                <w:i/>
                <w:sz w:val="32"/>
                <w:szCs w:val="32"/>
              </w:rPr>
            </w:pPr>
          </w:p>
        </w:tc>
      </w:tr>
      <w:tr w:rsidR="004726EB" w14:paraId="7DECFFFD" w14:textId="77777777" w:rsidTr="004726EB">
        <w:tc>
          <w:tcPr>
            <w:tcW w:w="14894" w:type="dxa"/>
          </w:tcPr>
          <w:p w14:paraId="58E99AD8" w14:textId="77777777" w:rsidR="004726EB" w:rsidRDefault="00F53852" w:rsidP="004726EB">
            <w:pPr>
              <w:rPr>
                <w:i/>
                <w:sz w:val="32"/>
                <w:szCs w:val="32"/>
              </w:rPr>
            </w:pPr>
            <w:r w:rsidRPr="00F53852">
              <w:rPr>
                <w:i/>
                <w:sz w:val="32"/>
                <w:szCs w:val="32"/>
              </w:rPr>
              <w:t>Stonewall</w:t>
            </w:r>
          </w:p>
          <w:p w14:paraId="5E0AD639" w14:textId="11EEBC92" w:rsidR="001074F9" w:rsidRDefault="00373992" w:rsidP="001074F9">
            <w:r>
              <w:rPr>
                <w:rFonts w:eastAsia="Calibri"/>
                <w:color w:val="000000"/>
                <w:lang w:eastAsia="en-GB"/>
              </w:rPr>
              <w:t>To continue to participate in the Stonewall Workplace Equality Index and work towards a top 100 ranking.</w:t>
            </w:r>
          </w:p>
          <w:p w14:paraId="4EE9E46D" w14:textId="4E1250E2" w:rsidR="001074F9" w:rsidRPr="001074F9" w:rsidRDefault="001074F9" w:rsidP="001074F9">
            <w:pPr>
              <w:autoSpaceDE w:val="0"/>
              <w:autoSpaceDN w:val="0"/>
              <w:adjustRightInd w:val="0"/>
              <w:rPr>
                <w:rFonts w:eastAsia="Calibri"/>
                <w:color w:val="000000"/>
                <w:lang w:eastAsia="en-GB"/>
              </w:rPr>
            </w:pPr>
          </w:p>
        </w:tc>
      </w:tr>
      <w:tr w:rsidR="004726EB" w14:paraId="205EE8D8" w14:textId="77777777" w:rsidTr="004726EB">
        <w:tc>
          <w:tcPr>
            <w:tcW w:w="14894" w:type="dxa"/>
          </w:tcPr>
          <w:p w14:paraId="36BCBF0F" w14:textId="5EED7397" w:rsidR="004726EB" w:rsidRDefault="003F6F8A" w:rsidP="004726EB">
            <w:pPr>
              <w:rPr>
                <w:i/>
                <w:sz w:val="32"/>
                <w:szCs w:val="32"/>
              </w:rPr>
            </w:pPr>
            <w:r w:rsidRPr="00777E7D">
              <w:rPr>
                <w:i/>
                <w:sz w:val="32"/>
                <w:szCs w:val="32"/>
              </w:rPr>
              <w:t>Social Identity Recording</w:t>
            </w:r>
          </w:p>
          <w:p w14:paraId="416E4A15" w14:textId="77777777" w:rsidR="008C757E" w:rsidRDefault="00373992" w:rsidP="00373992">
            <w:r>
              <w:t>To continue to</w:t>
            </w:r>
            <w:r w:rsidR="008177C9" w:rsidRPr="007B4858">
              <w:t xml:space="preserve"> in</w:t>
            </w:r>
            <w:r w:rsidR="008C757E" w:rsidRPr="007B4858">
              <w:t xml:space="preserve">crease </w:t>
            </w:r>
            <w:r>
              <w:t xml:space="preserve">the levels of </w:t>
            </w:r>
            <w:r w:rsidR="008C757E" w:rsidRPr="007B4858">
              <w:t xml:space="preserve">social identity recording amongst staff. </w:t>
            </w:r>
          </w:p>
          <w:p w14:paraId="08257750" w14:textId="08EDA056" w:rsidR="00373992" w:rsidRPr="00777E7D" w:rsidRDefault="00373992" w:rsidP="00373992">
            <w:pPr>
              <w:rPr>
                <w:i/>
                <w:sz w:val="32"/>
                <w:szCs w:val="32"/>
              </w:rPr>
            </w:pPr>
          </w:p>
        </w:tc>
      </w:tr>
      <w:tr w:rsidR="00777E7D" w14:paraId="52F386FE" w14:textId="77777777" w:rsidTr="004726EB">
        <w:tc>
          <w:tcPr>
            <w:tcW w:w="14894" w:type="dxa"/>
          </w:tcPr>
          <w:p w14:paraId="122ED268" w14:textId="53B838B3" w:rsidR="00777E7D" w:rsidRDefault="00777E7D" w:rsidP="004726EB">
            <w:pPr>
              <w:rPr>
                <w:i/>
                <w:sz w:val="32"/>
                <w:szCs w:val="32"/>
              </w:rPr>
            </w:pPr>
            <w:r w:rsidRPr="00777E7D">
              <w:rPr>
                <w:i/>
                <w:sz w:val="32"/>
                <w:szCs w:val="32"/>
              </w:rPr>
              <w:t>Mandatory</w:t>
            </w:r>
            <w:r w:rsidR="004035B9">
              <w:rPr>
                <w:i/>
                <w:sz w:val="32"/>
                <w:szCs w:val="32"/>
              </w:rPr>
              <w:t xml:space="preserve"> Equality Matters </w:t>
            </w:r>
            <w:r w:rsidRPr="00777E7D">
              <w:rPr>
                <w:i/>
                <w:sz w:val="32"/>
                <w:szCs w:val="32"/>
              </w:rPr>
              <w:t xml:space="preserve"> e-learning</w:t>
            </w:r>
            <w:r w:rsidR="004035B9">
              <w:rPr>
                <w:i/>
                <w:sz w:val="32"/>
                <w:szCs w:val="32"/>
              </w:rPr>
              <w:t xml:space="preserve"> training</w:t>
            </w:r>
          </w:p>
          <w:p w14:paraId="3F1CF0C1" w14:textId="77777777" w:rsidR="005D0824" w:rsidRDefault="00373992" w:rsidP="00EC117D">
            <w:pPr>
              <w:autoSpaceDE w:val="0"/>
              <w:autoSpaceDN w:val="0"/>
              <w:adjustRightInd w:val="0"/>
              <w:rPr>
                <w:rFonts w:eastAsia="Calibri"/>
                <w:lang w:eastAsia="en-GB"/>
              </w:rPr>
            </w:pPr>
            <w:r>
              <w:rPr>
                <w:rFonts w:eastAsia="Calibri"/>
                <w:lang w:eastAsia="en-GB"/>
              </w:rPr>
              <w:t>To continue to increase the numbers of staff completing the mandatory e-learning training</w:t>
            </w:r>
          </w:p>
          <w:p w14:paraId="17B341E4" w14:textId="0707E124" w:rsidR="00373992" w:rsidRPr="007B4858" w:rsidRDefault="00373992" w:rsidP="00EC117D">
            <w:pPr>
              <w:autoSpaceDE w:val="0"/>
              <w:autoSpaceDN w:val="0"/>
              <w:adjustRightInd w:val="0"/>
              <w:rPr>
                <w:rFonts w:eastAsia="Calibri"/>
                <w:lang w:eastAsia="en-GB"/>
              </w:rPr>
            </w:pPr>
          </w:p>
        </w:tc>
      </w:tr>
      <w:tr w:rsidR="004726EB" w14:paraId="404F7A29" w14:textId="77777777" w:rsidTr="004726EB">
        <w:tc>
          <w:tcPr>
            <w:tcW w:w="14894" w:type="dxa"/>
          </w:tcPr>
          <w:p w14:paraId="74176375" w14:textId="77777777" w:rsidR="004726EB" w:rsidRDefault="00D04F2B" w:rsidP="004726EB">
            <w:pPr>
              <w:rPr>
                <w:sz w:val="32"/>
                <w:szCs w:val="32"/>
              </w:rPr>
            </w:pPr>
            <w:r>
              <w:rPr>
                <w:color w:val="FF6600"/>
                <w:sz w:val="32"/>
                <w:szCs w:val="32"/>
              </w:rPr>
              <w:t xml:space="preserve">Objective 2 – </w:t>
            </w:r>
            <w:r w:rsidRPr="00D04F2B">
              <w:rPr>
                <w:color w:val="3E007A"/>
                <w:sz w:val="32"/>
                <w:szCs w:val="32"/>
              </w:rPr>
              <w:t>An</w:t>
            </w:r>
            <w:r w:rsidRPr="00D04F2B">
              <w:rPr>
                <w:color w:val="3E007A"/>
                <w:sz w:val="28"/>
                <w:szCs w:val="28"/>
              </w:rPr>
              <w:t xml:space="preserve"> improved </w:t>
            </w:r>
            <w:r w:rsidRPr="004726EB">
              <w:rPr>
                <w:color w:val="3E007A"/>
                <w:sz w:val="28"/>
                <w:szCs w:val="28"/>
              </w:rPr>
              <w:t xml:space="preserve">understanding of our communities to ensure services are fair, equitable and accessible </w:t>
            </w:r>
            <w:r w:rsidRPr="004726EB">
              <w:rPr>
                <w:color w:val="3E007A"/>
                <w:sz w:val="28"/>
                <w:szCs w:val="28"/>
              </w:rPr>
              <w:lastRenderedPageBreak/>
              <w:t>to all and reduce inequality</w:t>
            </w:r>
          </w:p>
        </w:tc>
      </w:tr>
      <w:tr w:rsidR="004726EB" w14:paraId="763BB6F2" w14:textId="77777777" w:rsidTr="004726EB">
        <w:tc>
          <w:tcPr>
            <w:tcW w:w="14894" w:type="dxa"/>
          </w:tcPr>
          <w:p w14:paraId="528E1323" w14:textId="60551CE1" w:rsidR="00A756C0" w:rsidRDefault="003F6F8A" w:rsidP="00A756C0">
            <w:pPr>
              <w:rPr>
                <w:i/>
                <w:sz w:val="32"/>
                <w:szCs w:val="32"/>
              </w:rPr>
            </w:pPr>
            <w:r>
              <w:rPr>
                <w:i/>
                <w:sz w:val="32"/>
                <w:szCs w:val="32"/>
              </w:rPr>
              <w:lastRenderedPageBreak/>
              <w:t>Co</w:t>
            </w:r>
            <w:r w:rsidR="00A756C0">
              <w:rPr>
                <w:i/>
                <w:sz w:val="32"/>
                <w:szCs w:val="32"/>
              </w:rPr>
              <w:t xml:space="preserve">mmunities and Regeneration </w:t>
            </w:r>
          </w:p>
          <w:p w14:paraId="51AEC9AE" w14:textId="77777777" w:rsidR="004726EB" w:rsidRDefault="00373992" w:rsidP="004819FD">
            <w:pPr>
              <w:rPr>
                <w:szCs w:val="32"/>
              </w:rPr>
            </w:pPr>
            <w:r>
              <w:rPr>
                <w:szCs w:val="32"/>
              </w:rPr>
              <w:t>Gain a better understanding of the t</w:t>
            </w:r>
            <w:r w:rsidR="00AA4355" w:rsidRPr="00A756C0">
              <w:rPr>
                <w:szCs w:val="32"/>
              </w:rPr>
              <w:t xml:space="preserve">ransient migrant populations and </w:t>
            </w:r>
            <w:r>
              <w:rPr>
                <w:szCs w:val="32"/>
              </w:rPr>
              <w:t xml:space="preserve">the </w:t>
            </w:r>
            <w:r w:rsidR="00AA4355" w:rsidRPr="00A756C0">
              <w:rPr>
                <w:szCs w:val="32"/>
              </w:rPr>
              <w:t xml:space="preserve">impact on </w:t>
            </w:r>
            <w:r w:rsidR="00A756C0">
              <w:rPr>
                <w:szCs w:val="32"/>
              </w:rPr>
              <w:t xml:space="preserve">community cohesion and community </w:t>
            </w:r>
            <w:r w:rsidR="004819FD">
              <w:rPr>
                <w:szCs w:val="32"/>
              </w:rPr>
              <w:t>safety</w:t>
            </w:r>
            <w:r w:rsidR="00A756C0">
              <w:rPr>
                <w:szCs w:val="32"/>
              </w:rPr>
              <w:t xml:space="preserve"> especially </w:t>
            </w:r>
            <w:r w:rsidR="0016341A" w:rsidRPr="00A756C0">
              <w:rPr>
                <w:szCs w:val="32"/>
              </w:rPr>
              <w:t>fly tipping</w:t>
            </w:r>
            <w:r w:rsidR="003F6F8A" w:rsidRPr="00A756C0">
              <w:rPr>
                <w:szCs w:val="32"/>
              </w:rPr>
              <w:t xml:space="preserve"> and overcrowding</w:t>
            </w:r>
            <w:r w:rsidR="00A756C0">
              <w:rPr>
                <w:szCs w:val="32"/>
              </w:rPr>
              <w:t xml:space="preserve"> housing</w:t>
            </w:r>
            <w:r>
              <w:rPr>
                <w:szCs w:val="32"/>
              </w:rPr>
              <w:t>.</w:t>
            </w:r>
            <w:r w:rsidR="00A756C0">
              <w:rPr>
                <w:szCs w:val="32"/>
              </w:rPr>
              <w:t xml:space="preserve"> </w:t>
            </w:r>
          </w:p>
          <w:p w14:paraId="440E5E12" w14:textId="7D5CB456" w:rsidR="004819FD" w:rsidRPr="00A756C0" w:rsidRDefault="004819FD" w:rsidP="004819FD">
            <w:pPr>
              <w:rPr>
                <w:sz w:val="32"/>
                <w:szCs w:val="32"/>
              </w:rPr>
            </w:pPr>
            <w:r>
              <w:rPr>
                <w:szCs w:val="32"/>
              </w:rPr>
              <w:t>Improve understanding of homelessness, particularly the impact</w:t>
            </w:r>
            <w:bookmarkStart w:id="0" w:name="_GoBack"/>
            <w:bookmarkEnd w:id="0"/>
            <w:r>
              <w:rPr>
                <w:szCs w:val="32"/>
              </w:rPr>
              <w:t xml:space="preserve"> of the Homeless Reduction Act</w:t>
            </w:r>
          </w:p>
        </w:tc>
      </w:tr>
      <w:tr w:rsidR="004726EB" w14:paraId="7F8B7370" w14:textId="77777777" w:rsidTr="004726EB">
        <w:tc>
          <w:tcPr>
            <w:tcW w:w="14894" w:type="dxa"/>
          </w:tcPr>
          <w:p w14:paraId="38EC06FC" w14:textId="0214E241" w:rsidR="00A756C0" w:rsidRDefault="00A756C0" w:rsidP="00A756C0">
            <w:pPr>
              <w:rPr>
                <w:i/>
                <w:sz w:val="32"/>
                <w:szCs w:val="32"/>
              </w:rPr>
            </w:pPr>
            <w:r>
              <w:rPr>
                <w:i/>
                <w:sz w:val="32"/>
                <w:szCs w:val="32"/>
              </w:rPr>
              <w:t xml:space="preserve">Peoples </w:t>
            </w:r>
          </w:p>
          <w:p w14:paraId="6BE65D05" w14:textId="6B69B76D" w:rsidR="004726EB" w:rsidRPr="00A756C0" w:rsidRDefault="003F6F8A" w:rsidP="00A756C0">
            <w:pPr>
              <w:rPr>
                <w:sz w:val="32"/>
                <w:szCs w:val="32"/>
              </w:rPr>
            </w:pPr>
            <w:r w:rsidRPr="00A756C0">
              <w:rPr>
                <w:szCs w:val="32"/>
              </w:rPr>
              <w:t xml:space="preserve">Adult social care Resilient Communities vision and improved accessibility to adult social care </w:t>
            </w:r>
            <w:r w:rsidR="00A756C0" w:rsidRPr="00A756C0">
              <w:rPr>
                <w:szCs w:val="32"/>
              </w:rPr>
              <w:t xml:space="preserve">website, </w:t>
            </w:r>
            <w:r w:rsidRPr="00A756C0">
              <w:rPr>
                <w:szCs w:val="32"/>
              </w:rPr>
              <w:t>informati</w:t>
            </w:r>
            <w:r w:rsidR="00A756C0">
              <w:rPr>
                <w:szCs w:val="32"/>
              </w:rPr>
              <w:t>on packs and online information,</w:t>
            </w:r>
            <w:r w:rsidRPr="00A756C0">
              <w:rPr>
                <w:szCs w:val="32"/>
              </w:rPr>
              <w:t xml:space="preserve"> improve</w:t>
            </w:r>
            <w:r w:rsidR="00A756C0" w:rsidRPr="00A756C0">
              <w:rPr>
                <w:szCs w:val="32"/>
              </w:rPr>
              <w:t>d profiling of young offenders</w:t>
            </w:r>
            <w:r w:rsidR="004819FD">
              <w:rPr>
                <w:szCs w:val="32"/>
              </w:rPr>
              <w:t>.</w:t>
            </w:r>
          </w:p>
        </w:tc>
      </w:tr>
      <w:tr w:rsidR="004726EB" w14:paraId="4312923C" w14:textId="77777777" w:rsidTr="004726EB">
        <w:tc>
          <w:tcPr>
            <w:tcW w:w="14894" w:type="dxa"/>
          </w:tcPr>
          <w:p w14:paraId="3706BF9C" w14:textId="77777777" w:rsidR="00A756C0" w:rsidRDefault="00A756C0" w:rsidP="00A756C0">
            <w:pPr>
              <w:rPr>
                <w:sz w:val="32"/>
                <w:szCs w:val="32"/>
              </w:rPr>
            </w:pPr>
            <w:r>
              <w:rPr>
                <w:sz w:val="32"/>
                <w:szCs w:val="32"/>
              </w:rPr>
              <w:t xml:space="preserve">Resources and Commercial </w:t>
            </w:r>
          </w:p>
          <w:p w14:paraId="23D87BD0" w14:textId="6C02904D" w:rsidR="004726EB" w:rsidRPr="00A756C0" w:rsidRDefault="003F6F8A" w:rsidP="00A756C0">
            <w:pPr>
              <w:rPr>
                <w:sz w:val="32"/>
                <w:szCs w:val="32"/>
              </w:rPr>
            </w:pPr>
            <w:r w:rsidRPr="00A756C0">
              <w:rPr>
                <w:szCs w:val="32"/>
              </w:rPr>
              <w:t xml:space="preserve">L&amp;D – Member induction, e-learning, EQIA </w:t>
            </w:r>
            <w:r w:rsidR="00DA6EAC" w:rsidRPr="00A756C0">
              <w:rPr>
                <w:szCs w:val="32"/>
              </w:rPr>
              <w:t xml:space="preserve">guidance </w:t>
            </w:r>
            <w:r w:rsidR="00A756C0">
              <w:rPr>
                <w:szCs w:val="32"/>
              </w:rPr>
              <w:t>and quality assurance</w:t>
            </w:r>
          </w:p>
        </w:tc>
      </w:tr>
      <w:tr w:rsidR="004726EB" w14:paraId="030F6788" w14:textId="77777777" w:rsidTr="004726EB">
        <w:tc>
          <w:tcPr>
            <w:tcW w:w="14894" w:type="dxa"/>
          </w:tcPr>
          <w:p w14:paraId="67715D26" w14:textId="77777777" w:rsidR="004726EB" w:rsidRPr="00D04F2B" w:rsidRDefault="00D04F2B" w:rsidP="004726EB">
            <w:pPr>
              <w:rPr>
                <w:color w:val="3E007A"/>
                <w:sz w:val="28"/>
                <w:szCs w:val="28"/>
              </w:rPr>
            </w:pPr>
            <w:r>
              <w:rPr>
                <w:color w:val="FF6600"/>
                <w:sz w:val="32"/>
                <w:szCs w:val="32"/>
              </w:rPr>
              <w:t xml:space="preserve">Objective 3 – </w:t>
            </w:r>
            <w:r w:rsidRPr="004726EB">
              <w:rPr>
                <w:color w:val="3E007A"/>
                <w:sz w:val="28"/>
                <w:szCs w:val="28"/>
              </w:rPr>
              <w:t>Promote and Celebrate the Diversity of our Borough and Foster Community Cohesion</w:t>
            </w:r>
          </w:p>
        </w:tc>
      </w:tr>
      <w:tr w:rsidR="004726EB" w14:paraId="7BC70FDF" w14:textId="77777777" w:rsidTr="004726EB">
        <w:tc>
          <w:tcPr>
            <w:tcW w:w="14894" w:type="dxa"/>
          </w:tcPr>
          <w:p w14:paraId="01036F07" w14:textId="0D4BD5B0" w:rsidR="004726EB" w:rsidRPr="00DA6EAC" w:rsidRDefault="003F6F8A" w:rsidP="004726EB">
            <w:pPr>
              <w:rPr>
                <w:i/>
                <w:sz w:val="32"/>
                <w:szCs w:val="32"/>
              </w:rPr>
            </w:pPr>
            <w:r w:rsidRPr="00DA6EAC">
              <w:rPr>
                <w:i/>
                <w:sz w:val="32"/>
                <w:szCs w:val="32"/>
              </w:rPr>
              <w:t>Diversity Champions, Straight Ally and community events</w:t>
            </w:r>
          </w:p>
        </w:tc>
      </w:tr>
    </w:tbl>
    <w:p w14:paraId="097D3D54" w14:textId="77777777" w:rsidR="004726EB" w:rsidRPr="004726EB" w:rsidRDefault="004726EB" w:rsidP="004726EB">
      <w:pPr>
        <w:rPr>
          <w:sz w:val="32"/>
          <w:szCs w:val="32"/>
        </w:rPr>
      </w:pPr>
    </w:p>
    <w:p w14:paraId="24A66582" w14:textId="77777777" w:rsidR="004726EB" w:rsidRPr="00A55C91" w:rsidRDefault="004726EB" w:rsidP="00A55C91"/>
    <w:p w14:paraId="0A24F3A6" w14:textId="64CEE160" w:rsidR="00A55C91" w:rsidRPr="009A6FE7" w:rsidRDefault="009A6FE7" w:rsidP="009A6FE7">
      <w:r>
        <w:br w:type="page"/>
      </w:r>
      <w:r w:rsidR="0084247E" w:rsidRPr="009A6FE7">
        <w:rPr>
          <w:color w:val="FF6600"/>
          <w:sz w:val="32"/>
          <w:szCs w:val="32"/>
        </w:rPr>
        <w:lastRenderedPageBreak/>
        <w:t>Appendices</w:t>
      </w:r>
    </w:p>
    <w:p w14:paraId="18E4671F" w14:textId="77777777" w:rsidR="0084247E" w:rsidRPr="0084247E" w:rsidRDefault="0084247E" w:rsidP="00A55C91">
      <w:pPr>
        <w:ind w:left="-644"/>
      </w:pPr>
    </w:p>
    <w:p w14:paraId="224E739D" w14:textId="356C669F" w:rsidR="009A6FE7" w:rsidRPr="009A6FE7" w:rsidRDefault="009A6FE7" w:rsidP="009A6FE7">
      <w:pPr>
        <w:pStyle w:val="ListParagraph"/>
        <w:ind w:left="76"/>
        <w:rPr>
          <w:b/>
        </w:rPr>
      </w:pPr>
      <w:r w:rsidRPr="009A6FE7">
        <w:rPr>
          <w:b/>
        </w:rPr>
        <w:t>Appendix 1 – Corporate Equality &amp; Diver</w:t>
      </w:r>
      <w:r>
        <w:rPr>
          <w:b/>
        </w:rPr>
        <w:t>sity Performance Targets 2017/18</w:t>
      </w:r>
    </w:p>
    <w:p w14:paraId="36B61DFC" w14:textId="77777777" w:rsidR="009A6FE7" w:rsidRPr="009A6FE7" w:rsidRDefault="009A6FE7" w:rsidP="009A6FE7">
      <w:pPr>
        <w:pStyle w:val="ListParagraph"/>
        <w:ind w:left="76"/>
      </w:pPr>
    </w:p>
    <w:tbl>
      <w:tblPr>
        <w:tblW w:w="15165" w:type="dxa"/>
        <w:tblInd w:w="-459" w:type="dxa"/>
        <w:tblLayout w:type="fixed"/>
        <w:tblLook w:val="04A0" w:firstRow="1" w:lastRow="0" w:firstColumn="1" w:lastColumn="0" w:noHBand="0" w:noVBand="1"/>
      </w:tblPr>
      <w:tblGrid>
        <w:gridCol w:w="5245"/>
        <w:gridCol w:w="1274"/>
        <w:gridCol w:w="1278"/>
        <w:gridCol w:w="1275"/>
        <w:gridCol w:w="6093"/>
      </w:tblGrid>
      <w:tr w:rsidR="009A6FE7" w:rsidRPr="009A6FE7" w14:paraId="753B3ADB" w14:textId="77777777" w:rsidTr="009A6FE7">
        <w:trPr>
          <w:trHeight w:val="525"/>
          <w:tblHeader/>
        </w:trPr>
        <w:tc>
          <w:tcPr>
            <w:tcW w:w="5245" w:type="dxa"/>
            <w:tcBorders>
              <w:top w:val="single" w:sz="4" w:space="0" w:color="60497A"/>
              <w:left w:val="single" w:sz="4" w:space="0" w:color="60497A"/>
              <w:bottom w:val="single" w:sz="12" w:space="0" w:color="60497A"/>
              <w:right w:val="single" w:sz="8" w:space="0" w:color="60497A"/>
            </w:tcBorders>
            <w:shd w:val="clear" w:color="auto" w:fill="7030A0"/>
            <w:hideMark/>
          </w:tcPr>
          <w:p w14:paraId="03A91F1F" w14:textId="77777777" w:rsidR="009A6FE7" w:rsidRPr="009A6FE7" w:rsidRDefault="009A6FE7" w:rsidP="009A6FE7">
            <w:pPr>
              <w:pStyle w:val="ListParagraph"/>
              <w:ind w:left="76"/>
              <w:rPr>
                <w:b/>
                <w:bCs/>
              </w:rPr>
            </w:pPr>
            <w:r w:rsidRPr="009A6FE7">
              <w:rPr>
                <w:b/>
                <w:bCs/>
              </w:rPr>
              <w:t xml:space="preserve">Measure </w:t>
            </w:r>
          </w:p>
        </w:tc>
        <w:tc>
          <w:tcPr>
            <w:tcW w:w="1274" w:type="dxa"/>
            <w:tcBorders>
              <w:top w:val="single" w:sz="4" w:space="0" w:color="60497A"/>
              <w:left w:val="nil"/>
              <w:bottom w:val="single" w:sz="12" w:space="0" w:color="60497A"/>
              <w:right w:val="single" w:sz="4" w:space="0" w:color="60497A"/>
            </w:tcBorders>
            <w:shd w:val="clear" w:color="auto" w:fill="7030A0"/>
            <w:hideMark/>
          </w:tcPr>
          <w:p w14:paraId="0A1BA22F" w14:textId="77777777" w:rsidR="009A6FE7" w:rsidRPr="009A6FE7" w:rsidRDefault="009A6FE7" w:rsidP="009A6FE7">
            <w:pPr>
              <w:pStyle w:val="ListParagraph"/>
              <w:ind w:left="76"/>
              <w:rPr>
                <w:b/>
                <w:bCs/>
              </w:rPr>
            </w:pPr>
            <w:r w:rsidRPr="009A6FE7">
              <w:rPr>
                <w:b/>
                <w:bCs/>
              </w:rPr>
              <w:t>Target</w:t>
            </w:r>
          </w:p>
          <w:p w14:paraId="6129A835" w14:textId="7DC4B263" w:rsidR="009A6FE7" w:rsidRPr="009A6FE7" w:rsidRDefault="009A6FE7" w:rsidP="009A6FE7">
            <w:pPr>
              <w:pStyle w:val="ListParagraph"/>
              <w:ind w:left="76"/>
              <w:rPr>
                <w:b/>
                <w:bCs/>
              </w:rPr>
            </w:pPr>
            <w:r>
              <w:rPr>
                <w:b/>
                <w:bCs/>
              </w:rPr>
              <w:t>2017/18</w:t>
            </w:r>
          </w:p>
        </w:tc>
        <w:tc>
          <w:tcPr>
            <w:tcW w:w="1278" w:type="dxa"/>
            <w:tcBorders>
              <w:top w:val="single" w:sz="4" w:space="0" w:color="60497A"/>
              <w:left w:val="nil"/>
              <w:bottom w:val="single" w:sz="12" w:space="0" w:color="60497A"/>
              <w:right w:val="single" w:sz="4" w:space="0" w:color="60497A"/>
            </w:tcBorders>
            <w:shd w:val="clear" w:color="auto" w:fill="7030A0"/>
            <w:hideMark/>
          </w:tcPr>
          <w:p w14:paraId="1626EFDE" w14:textId="77777777" w:rsidR="009A6FE7" w:rsidRPr="009A6FE7" w:rsidRDefault="009A6FE7" w:rsidP="009A6FE7">
            <w:pPr>
              <w:pStyle w:val="ListParagraph"/>
              <w:ind w:left="76"/>
              <w:rPr>
                <w:b/>
                <w:bCs/>
              </w:rPr>
            </w:pPr>
            <w:r w:rsidRPr="009A6FE7">
              <w:rPr>
                <w:b/>
                <w:bCs/>
              </w:rPr>
              <w:t>Actual</w:t>
            </w:r>
          </w:p>
          <w:p w14:paraId="6ECCDFBA" w14:textId="4606BE53" w:rsidR="009A6FE7" w:rsidRPr="009A6FE7" w:rsidRDefault="009A6FE7" w:rsidP="009A6FE7">
            <w:pPr>
              <w:pStyle w:val="ListParagraph"/>
              <w:ind w:left="76"/>
              <w:rPr>
                <w:b/>
                <w:bCs/>
              </w:rPr>
            </w:pPr>
            <w:r>
              <w:rPr>
                <w:b/>
                <w:bCs/>
              </w:rPr>
              <w:t>2017/18</w:t>
            </w:r>
          </w:p>
        </w:tc>
        <w:tc>
          <w:tcPr>
            <w:tcW w:w="1275" w:type="dxa"/>
            <w:tcBorders>
              <w:top w:val="single" w:sz="4" w:space="0" w:color="60497A"/>
              <w:left w:val="nil"/>
              <w:bottom w:val="single" w:sz="12" w:space="0" w:color="60497A"/>
              <w:right w:val="single" w:sz="8" w:space="0" w:color="60497A"/>
            </w:tcBorders>
            <w:shd w:val="clear" w:color="auto" w:fill="7030A0"/>
            <w:hideMark/>
          </w:tcPr>
          <w:p w14:paraId="44AFD8BB" w14:textId="77777777" w:rsidR="009A6FE7" w:rsidRPr="009A6FE7" w:rsidRDefault="009A6FE7" w:rsidP="009A6FE7">
            <w:pPr>
              <w:pStyle w:val="ListParagraph"/>
              <w:ind w:left="76"/>
              <w:rPr>
                <w:b/>
                <w:bCs/>
              </w:rPr>
            </w:pPr>
            <w:r w:rsidRPr="009A6FE7">
              <w:rPr>
                <w:b/>
                <w:bCs/>
              </w:rPr>
              <w:t>RAG Status</w:t>
            </w:r>
          </w:p>
        </w:tc>
        <w:tc>
          <w:tcPr>
            <w:tcW w:w="6093" w:type="dxa"/>
            <w:tcBorders>
              <w:top w:val="single" w:sz="4" w:space="0" w:color="60497A"/>
              <w:left w:val="nil"/>
              <w:bottom w:val="single" w:sz="12" w:space="0" w:color="60497A"/>
              <w:right w:val="single" w:sz="8" w:space="0" w:color="60497A"/>
            </w:tcBorders>
            <w:shd w:val="clear" w:color="auto" w:fill="7030A0"/>
            <w:hideMark/>
          </w:tcPr>
          <w:p w14:paraId="291A6902" w14:textId="77777777" w:rsidR="009A6FE7" w:rsidRPr="009A6FE7" w:rsidRDefault="009A6FE7" w:rsidP="009A6FE7">
            <w:pPr>
              <w:pStyle w:val="ListParagraph"/>
              <w:ind w:left="76"/>
              <w:rPr>
                <w:b/>
              </w:rPr>
            </w:pPr>
            <w:r w:rsidRPr="009A6FE7">
              <w:rPr>
                <w:b/>
              </w:rPr>
              <w:t>Comments (include comparisons against National Average and Neighbouring Borough(s) where available)</w:t>
            </w:r>
          </w:p>
        </w:tc>
      </w:tr>
      <w:tr w:rsidR="009A6FE7" w:rsidRPr="009A6FE7" w14:paraId="4F05B12E" w14:textId="77777777" w:rsidTr="009A6FE7">
        <w:trPr>
          <w:trHeight w:val="525"/>
        </w:trPr>
        <w:tc>
          <w:tcPr>
            <w:tcW w:w="15165" w:type="dxa"/>
            <w:gridSpan w:val="5"/>
            <w:tcBorders>
              <w:top w:val="single" w:sz="4" w:space="0" w:color="auto"/>
              <w:left w:val="single" w:sz="4" w:space="0" w:color="auto"/>
              <w:bottom w:val="single" w:sz="4" w:space="0" w:color="auto"/>
              <w:right w:val="single" w:sz="4" w:space="0" w:color="auto"/>
            </w:tcBorders>
            <w:shd w:val="clear" w:color="auto" w:fill="CCC0DA"/>
            <w:vAlign w:val="center"/>
            <w:hideMark/>
          </w:tcPr>
          <w:p w14:paraId="7C4DC82F" w14:textId="77777777" w:rsidR="009A6FE7" w:rsidRPr="009A6FE7" w:rsidRDefault="009A6FE7" w:rsidP="009A6FE7">
            <w:pPr>
              <w:pStyle w:val="ListParagraph"/>
              <w:ind w:left="76"/>
              <w:rPr>
                <w:b/>
              </w:rPr>
            </w:pPr>
            <w:r w:rsidRPr="009A6FE7">
              <w:rPr>
                <w:b/>
              </w:rPr>
              <w:t>Objective 1: An inclusive workforce that feels valued, respected and reflects our community</w:t>
            </w:r>
          </w:p>
        </w:tc>
      </w:tr>
      <w:tr w:rsidR="009A6FE7" w:rsidRPr="009A6FE7" w14:paraId="6BC0608D" w14:textId="77777777" w:rsidTr="009A6FE7">
        <w:tc>
          <w:tcPr>
            <w:tcW w:w="5245" w:type="dxa"/>
            <w:tcBorders>
              <w:top w:val="single" w:sz="4" w:space="0" w:color="auto"/>
              <w:left w:val="single" w:sz="4" w:space="0" w:color="auto"/>
              <w:bottom w:val="single" w:sz="4" w:space="0" w:color="auto"/>
              <w:right w:val="single" w:sz="4" w:space="0" w:color="auto"/>
            </w:tcBorders>
            <w:hideMark/>
          </w:tcPr>
          <w:p w14:paraId="286B002A" w14:textId="4845550D" w:rsidR="009A6FE7" w:rsidRPr="00C07D33" w:rsidRDefault="009A6FE7" w:rsidP="009A6FE7">
            <w:pPr>
              <w:pStyle w:val="ListParagraph"/>
              <w:ind w:left="76"/>
            </w:pPr>
            <w:r w:rsidRPr="00C07D33">
              <w:t xml:space="preserve">Improve on our position in </w:t>
            </w:r>
            <w:r w:rsidR="0016341A">
              <w:t>Stonewall</w:t>
            </w:r>
            <w:r w:rsidRPr="00C07D33">
              <w:t xml:space="preserve"> Workplace Index (WI)</w:t>
            </w:r>
          </w:p>
          <w:p w14:paraId="2BF2058E" w14:textId="5974DAA1" w:rsidR="009A6FE7" w:rsidRPr="00C07D33" w:rsidRDefault="00C07D33" w:rsidP="009A6FE7">
            <w:pPr>
              <w:pStyle w:val="ListParagraph"/>
              <w:numPr>
                <w:ilvl w:val="0"/>
                <w:numId w:val="22"/>
              </w:numPr>
            </w:pPr>
            <w:r w:rsidRPr="00C07D33">
              <w:t>KPI – Achieving a top 1</w:t>
            </w:r>
            <w:r w:rsidR="009A6FE7" w:rsidRPr="00C07D33">
              <w:t>00 plac</w:t>
            </w:r>
            <w:r w:rsidRPr="00C07D33">
              <w:t>e in the workplace index in 2017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7ECBD832" w14:textId="1DFBF12E" w:rsidR="009A6FE7" w:rsidRPr="00C07D33" w:rsidRDefault="00C07D33" w:rsidP="009A6FE7">
            <w:pPr>
              <w:pStyle w:val="ListParagraph"/>
              <w:ind w:left="76"/>
            </w:pPr>
            <w:r w:rsidRPr="00C07D33">
              <w:t>1</w:t>
            </w:r>
            <w:r w:rsidR="009A6FE7" w:rsidRPr="00C07D33">
              <w:t>00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6D31FE88" w14:textId="08A4606A" w:rsidR="009A6FE7" w:rsidRPr="00C07D33" w:rsidRDefault="00C07D33" w:rsidP="009A6FE7">
            <w:pPr>
              <w:pStyle w:val="ListParagraph"/>
              <w:ind w:left="76"/>
            </w:pPr>
            <w:r w:rsidRPr="00C07D33">
              <w:t>154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FE97BA" w14:textId="4CA239B0" w:rsidR="009A6FE7" w:rsidRPr="00C07D33" w:rsidRDefault="00C07D33" w:rsidP="009A6FE7">
            <w:pPr>
              <w:pStyle w:val="ListParagraph"/>
              <w:ind w:left="76"/>
              <w:rPr>
                <w:b/>
              </w:rPr>
            </w:pPr>
            <w:r w:rsidRPr="00304071">
              <w:rPr>
                <w:b/>
                <w:color w:val="FFC000"/>
              </w:rPr>
              <w:t>A</w:t>
            </w:r>
          </w:p>
        </w:tc>
        <w:tc>
          <w:tcPr>
            <w:tcW w:w="6093" w:type="dxa"/>
            <w:tcBorders>
              <w:top w:val="single" w:sz="4" w:space="0" w:color="auto"/>
              <w:left w:val="single" w:sz="4" w:space="0" w:color="auto"/>
              <w:bottom w:val="single" w:sz="4" w:space="0" w:color="auto"/>
              <w:right w:val="single" w:sz="4" w:space="0" w:color="auto"/>
            </w:tcBorders>
          </w:tcPr>
          <w:p w14:paraId="5F9B8168" w14:textId="068BF081" w:rsidR="009A6FE7" w:rsidRPr="00C07D33" w:rsidRDefault="00C07D33" w:rsidP="00C07D33">
            <w:pPr>
              <w:pStyle w:val="ListParagraph"/>
              <w:ind w:left="76"/>
            </w:pPr>
            <w:r w:rsidRPr="00C07D33">
              <w:t>We have maintained our position in 2017 with a ranking of 154 out of 439.</w:t>
            </w:r>
          </w:p>
        </w:tc>
      </w:tr>
      <w:tr w:rsidR="00304071" w:rsidRPr="009A6FE7" w14:paraId="4D2534FE" w14:textId="77777777" w:rsidTr="005D290D">
        <w:trPr>
          <w:trHeight w:val="4663"/>
        </w:trPr>
        <w:tc>
          <w:tcPr>
            <w:tcW w:w="5245" w:type="dxa"/>
            <w:tcBorders>
              <w:top w:val="single" w:sz="4" w:space="0" w:color="auto"/>
              <w:left w:val="single" w:sz="4" w:space="0" w:color="auto"/>
              <w:bottom w:val="single" w:sz="4" w:space="0" w:color="auto"/>
              <w:right w:val="single" w:sz="4" w:space="0" w:color="auto"/>
            </w:tcBorders>
            <w:hideMark/>
          </w:tcPr>
          <w:p w14:paraId="4E44DF08" w14:textId="77777777" w:rsidR="00304071" w:rsidRPr="00304071" w:rsidRDefault="00304071" w:rsidP="009A6FE7">
            <w:pPr>
              <w:pStyle w:val="ListParagraph"/>
              <w:ind w:left="76"/>
            </w:pPr>
            <w:r w:rsidRPr="00304071">
              <w:t>Achieve a more comprehensive profile of the workforce by improving the reporting and recording of protected characteristics, particularly disability.</w:t>
            </w:r>
          </w:p>
          <w:p w14:paraId="432D1FA1" w14:textId="77777777" w:rsidR="00304071" w:rsidRPr="00304071" w:rsidRDefault="00304071" w:rsidP="009A6FE7">
            <w:pPr>
              <w:pStyle w:val="ListParagraph"/>
              <w:numPr>
                <w:ilvl w:val="0"/>
                <w:numId w:val="23"/>
              </w:numPr>
            </w:pPr>
            <w:r w:rsidRPr="00304071">
              <w:t xml:space="preserve">KPI - % of staff providing social identify information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352348A4" w14:textId="4802741F" w:rsidR="00304071" w:rsidRPr="00304071" w:rsidRDefault="00304071" w:rsidP="009A6FE7">
            <w:pPr>
              <w:pStyle w:val="ListParagraph"/>
              <w:ind w:left="76"/>
            </w:pPr>
            <w:r>
              <w:t>20.8</w:t>
            </w:r>
            <w:r w:rsidRPr="00304071">
              <w:t>%</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25A69DA9" w14:textId="41D453BF" w:rsidR="00304071" w:rsidRPr="00304071" w:rsidRDefault="00304071" w:rsidP="009A6FE7">
            <w:pPr>
              <w:pStyle w:val="ListParagraph"/>
              <w:ind w:left="76"/>
            </w:pPr>
            <w:r>
              <w:t>27.2</w:t>
            </w:r>
            <w:r w:rsidRPr="00304071">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FB2D52" w14:textId="77777777" w:rsidR="00304071" w:rsidRPr="00304071" w:rsidRDefault="00304071" w:rsidP="009A6FE7">
            <w:pPr>
              <w:pStyle w:val="ListParagraph"/>
              <w:ind w:left="76"/>
              <w:rPr>
                <w:b/>
              </w:rPr>
            </w:pPr>
            <w:r w:rsidRPr="00304071">
              <w:rPr>
                <w:b/>
                <w:color w:val="00B050"/>
              </w:rPr>
              <w:t>HG</w:t>
            </w:r>
          </w:p>
        </w:tc>
        <w:tc>
          <w:tcPr>
            <w:tcW w:w="6093" w:type="dxa"/>
            <w:tcBorders>
              <w:top w:val="single" w:sz="4" w:space="0" w:color="auto"/>
              <w:left w:val="single" w:sz="4" w:space="0" w:color="auto"/>
              <w:right w:val="single" w:sz="4" w:space="0" w:color="auto"/>
            </w:tcBorders>
            <w:hideMark/>
          </w:tcPr>
          <w:p w14:paraId="23028CF6" w14:textId="77777777" w:rsidR="00304071" w:rsidRDefault="00304071" w:rsidP="009A6FE7">
            <w:pPr>
              <w:pStyle w:val="ListParagraph"/>
              <w:numPr>
                <w:ilvl w:val="0"/>
                <w:numId w:val="23"/>
              </w:numPr>
            </w:pPr>
            <w:r>
              <w:t>The issue is raised at corporate induction</w:t>
            </w:r>
          </w:p>
          <w:p w14:paraId="33E677B5" w14:textId="1F147ED5" w:rsidR="00304071" w:rsidRDefault="00304071" w:rsidP="009A6FE7">
            <w:pPr>
              <w:pStyle w:val="ListParagraph"/>
              <w:numPr>
                <w:ilvl w:val="0"/>
                <w:numId w:val="23"/>
              </w:numPr>
            </w:pPr>
            <w:r>
              <w:t xml:space="preserve">The staff Making a Difference Group are discussing ideas for how to incentivise staff to update their info on SAP </w:t>
            </w:r>
          </w:p>
          <w:p w14:paraId="03F7985F" w14:textId="77777777" w:rsidR="00304071" w:rsidRPr="00E57172" w:rsidRDefault="00304071" w:rsidP="009A6FE7">
            <w:pPr>
              <w:pStyle w:val="ListParagraph"/>
              <w:numPr>
                <w:ilvl w:val="0"/>
                <w:numId w:val="23"/>
              </w:numPr>
            </w:pPr>
            <w:r w:rsidRPr="00E57172">
              <w:t xml:space="preserve">Staff awards were held to celebrate work against the values including work around Equalities &amp; Diversity. Values also included as part of the appraisal where staff can update any work around equalities for the “do it Together” Value. </w:t>
            </w:r>
          </w:p>
          <w:p w14:paraId="56065CDC" w14:textId="4C9D2C7C" w:rsidR="00304071" w:rsidRPr="00304071" w:rsidRDefault="00304071" w:rsidP="009A6FE7">
            <w:pPr>
              <w:pStyle w:val="ListParagraph"/>
              <w:numPr>
                <w:ilvl w:val="0"/>
                <w:numId w:val="23"/>
              </w:numPr>
            </w:pPr>
            <w:proofErr w:type="gramStart"/>
            <w:r w:rsidRPr="00E57172">
              <w:t>There’s</w:t>
            </w:r>
            <w:proofErr w:type="gramEnd"/>
            <w:r w:rsidRPr="00E57172">
              <w:t xml:space="preserve"> a high percentage of unknowns still for both Religion or Belief (77.33%) </w:t>
            </w:r>
            <w:r>
              <w:t>and Sexual Orientation (78.42%). Stonewall data indicates that nationally only 27% of LGBT staff feel confident disclosing their sexuality at work.</w:t>
            </w:r>
          </w:p>
        </w:tc>
      </w:tr>
      <w:tr w:rsidR="009A6FE7" w:rsidRPr="009A6FE7" w14:paraId="3BB68A1F" w14:textId="77777777" w:rsidTr="00304071">
        <w:trPr>
          <w:trHeight w:val="1184"/>
        </w:trPr>
        <w:tc>
          <w:tcPr>
            <w:tcW w:w="5245" w:type="dxa"/>
            <w:vMerge w:val="restart"/>
            <w:tcBorders>
              <w:top w:val="single" w:sz="4" w:space="0" w:color="auto"/>
              <w:left w:val="single" w:sz="4" w:space="0" w:color="auto"/>
              <w:bottom w:val="single" w:sz="4" w:space="0" w:color="auto"/>
              <w:right w:val="single" w:sz="4" w:space="0" w:color="auto"/>
            </w:tcBorders>
            <w:hideMark/>
          </w:tcPr>
          <w:p w14:paraId="4F0FDEB0" w14:textId="77777777" w:rsidR="009A6FE7" w:rsidRDefault="009A6FE7" w:rsidP="00304071">
            <w:pPr>
              <w:pStyle w:val="ListParagraph"/>
              <w:ind w:left="76"/>
            </w:pPr>
            <w:r w:rsidRPr="00304071">
              <w:lastRenderedPageBreak/>
              <w:t xml:space="preserve">Improve the proportion of BAME staff </w:t>
            </w:r>
          </w:p>
          <w:p w14:paraId="5522329F" w14:textId="77777777" w:rsidR="00304071" w:rsidRDefault="00304071" w:rsidP="00304071">
            <w:pPr>
              <w:pStyle w:val="ListParagraph"/>
              <w:numPr>
                <w:ilvl w:val="0"/>
                <w:numId w:val="30"/>
              </w:numPr>
            </w:pPr>
            <w:r>
              <w:t>KPI – Proportion of BAME employees</w:t>
            </w:r>
          </w:p>
          <w:p w14:paraId="07FBE6C2" w14:textId="14C7CF9D" w:rsidR="00785465" w:rsidRPr="00304071" w:rsidRDefault="00785465" w:rsidP="00304071">
            <w:pPr>
              <w:pStyle w:val="ListParagraph"/>
              <w:numPr>
                <w:ilvl w:val="0"/>
                <w:numId w:val="30"/>
              </w:numPr>
            </w:pPr>
            <w:r>
              <w:t>KPI - % of top 5% earners who are BAME</w:t>
            </w:r>
          </w:p>
        </w:tc>
        <w:tc>
          <w:tcPr>
            <w:tcW w:w="1274" w:type="dxa"/>
            <w:vMerge w:val="restart"/>
            <w:tcBorders>
              <w:top w:val="single" w:sz="4" w:space="0" w:color="auto"/>
              <w:left w:val="single" w:sz="4" w:space="0" w:color="auto"/>
              <w:bottom w:val="single" w:sz="4" w:space="0" w:color="auto"/>
              <w:right w:val="single" w:sz="4" w:space="0" w:color="auto"/>
            </w:tcBorders>
            <w:noWrap/>
          </w:tcPr>
          <w:p w14:paraId="48A64E6A" w14:textId="77777777" w:rsidR="009A6FE7" w:rsidRPr="00785465" w:rsidRDefault="009A6FE7" w:rsidP="00304071">
            <w:pPr>
              <w:pStyle w:val="ListParagraph"/>
              <w:ind w:left="76"/>
            </w:pPr>
            <w:r w:rsidRPr="00785465">
              <w:t xml:space="preserve">   </w:t>
            </w:r>
          </w:p>
          <w:p w14:paraId="65FAFD72" w14:textId="77777777" w:rsidR="00304071" w:rsidRDefault="00304071" w:rsidP="00304071">
            <w:pPr>
              <w:pStyle w:val="ListParagraph"/>
              <w:ind w:left="76"/>
            </w:pPr>
            <w:r w:rsidRPr="00785465">
              <w:t>45%</w:t>
            </w:r>
          </w:p>
          <w:p w14:paraId="2230A312" w14:textId="68D9FA58" w:rsidR="00785465" w:rsidRPr="00785465" w:rsidRDefault="00785465" w:rsidP="00304071">
            <w:pPr>
              <w:pStyle w:val="ListParagraph"/>
              <w:ind w:left="76"/>
            </w:pPr>
            <w:r>
              <w:t>20%</w:t>
            </w:r>
          </w:p>
        </w:tc>
        <w:tc>
          <w:tcPr>
            <w:tcW w:w="1278" w:type="dxa"/>
            <w:vMerge w:val="restart"/>
            <w:tcBorders>
              <w:top w:val="single" w:sz="4" w:space="0" w:color="auto"/>
              <w:left w:val="single" w:sz="4" w:space="0" w:color="auto"/>
              <w:bottom w:val="single" w:sz="4" w:space="0" w:color="auto"/>
              <w:right w:val="single" w:sz="4" w:space="0" w:color="auto"/>
            </w:tcBorders>
            <w:noWrap/>
          </w:tcPr>
          <w:p w14:paraId="6CFE83B2" w14:textId="77777777" w:rsidR="009A6FE7" w:rsidRPr="00785465" w:rsidRDefault="009A6FE7" w:rsidP="00304071"/>
          <w:p w14:paraId="50747CDF" w14:textId="77777777" w:rsidR="00785465" w:rsidRDefault="00785465" w:rsidP="00304071">
            <w:r w:rsidRPr="00785465">
              <w:t>45.99%</w:t>
            </w:r>
          </w:p>
          <w:p w14:paraId="00972B6B" w14:textId="1FE751C1" w:rsidR="00785465" w:rsidRPr="00785465" w:rsidRDefault="00785465" w:rsidP="00304071">
            <w:r>
              <w:t>25.49%</w:t>
            </w:r>
          </w:p>
        </w:tc>
        <w:tc>
          <w:tcPr>
            <w:tcW w:w="1275" w:type="dxa"/>
            <w:vMerge w:val="restart"/>
            <w:tcBorders>
              <w:top w:val="single" w:sz="4" w:space="0" w:color="auto"/>
              <w:left w:val="single" w:sz="4" w:space="0" w:color="auto"/>
              <w:bottom w:val="single" w:sz="4" w:space="0" w:color="auto"/>
              <w:right w:val="single" w:sz="4" w:space="0" w:color="auto"/>
            </w:tcBorders>
          </w:tcPr>
          <w:p w14:paraId="77F0C019" w14:textId="77777777" w:rsidR="009A6FE7" w:rsidRDefault="009A6FE7" w:rsidP="00304071">
            <w:pPr>
              <w:pStyle w:val="ListParagraph"/>
              <w:ind w:left="76"/>
              <w:rPr>
                <w:b/>
                <w:highlight w:val="yellow"/>
              </w:rPr>
            </w:pPr>
          </w:p>
          <w:p w14:paraId="08380B52" w14:textId="77777777" w:rsidR="00785465" w:rsidRDefault="00785465" w:rsidP="00304071">
            <w:pPr>
              <w:pStyle w:val="ListParagraph"/>
              <w:ind w:left="76"/>
              <w:rPr>
                <w:b/>
                <w:color w:val="00B050"/>
              </w:rPr>
            </w:pPr>
            <w:r w:rsidRPr="00785465">
              <w:rPr>
                <w:b/>
                <w:color w:val="00B050"/>
              </w:rPr>
              <w:t>LG</w:t>
            </w:r>
          </w:p>
          <w:p w14:paraId="341098AC" w14:textId="6916F0B9" w:rsidR="00785465" w:rsidRPr="00785465" w:rsidRDefault="00785465" w:rsidP="00304071">
            <w:pPr>
              <w:pStyle w:val="ListParagraph"/>
              <w:ind w:left="76"/>
              <w:rPr>
                <w:b/>
                <w:highlight w:val="yellow"/>
              </w:rPr>
            </w:pPr>
            <w:r>
              <w:rPr>
                <w:b/>
                <w:color w:val="00B050"/>
              </w:rPr>
              <w:t>HG</w:t>
            </w:r>
          </w:p>
        </w:tc>
        <w:tc>
          <w:tcPr>
            <w:tcW w:w="6093" w:type="dxa"/>
            <w:tcBorders>
              <w:top w:val="single" w:sz="4" w:space="0" w:color="auto"/>
              <w:left w:val="single" w:sz="4" w:space="0" w:color="auto"/>
              <w:bottom w:val="single" w:sz="4" w:space="0" w:color="auto"/>
              <w:right w:val="single" w:sz="4" w:space="0" w:color="auto"/>
            </w:tcBorders>
            <w:hideMark/>
          </w:tcPr>
          <w:p w14:paraId="7BBDCEE1" w14:textId="7A96B15F" w:rsidR="009A6FE7" w:rsidRPr="00785465" w:rsidRDefault="00785465" w:rsidP="00785465">
            <w:pPr>
              <w:pStyle w:val="ListParagraph"/>
              <w:ind w:left="76"/>
            </w:pPr>
            <w:r w:rsidRPr="00785465">
              <w:t>The proportion of BAME staff is steadily increasing (it was 45.47% last year)</w:t>
            </w:r>
            <w:r w:rsidR="0016341A" w:rsidRPr="00785465">
              <w:t>;</w:t>
            </w:r>
            <w:r w:rsidRPr="00785465">
              <w:t xml:space="preserve"> whilst it is above target is it still short of reflecting the proportion of BAME residents in the borough which is at around 62%.</w:t>
            </w:r>
          </w:p>
        </w:tc>
      </w:tr>
      <w:tr w:rsidR="00785465" w:rsidRPr="009A6FE7" w14:paraId="190D6CE8" w14:textId="77777777" w:rsidTr="00785465">
        <w:trPr>
          <w:trHeight w:val="912"/>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64DD8ED1" w14:textId="77777777" w:rsidR="00785465" w:rsidRPr="009A6FE7" w:rsidRDefault="00785465" w:rsidP="009A6FE7">
            <w:pPr>
              <w:pStyle w:val="ListParagraph"/>
              <w:ind w:left="76"/>
              <w:rPr>
                <w:highlight w:val="yellow"/>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2BCD3AD" w14:textId="77777777" w:rsidR="00785465" w:rsidRPr="009A6FE7" w:rsidRDefault="00785465" w:rsidP="009A6FE7">
            <w:pPr>
              <w:pStyle w:val="ListParagraph"/>
              <w:ind w:left="76"/>
              <w:rPr>
                <w:highlight w:val="yellow"/>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41114EF7" w14:textId="77777777" w:rsidR="00785465" w:rsidRPr="009A6FE7" w:rsidRDefault="00785465" w:rsidP="009A6FE7">
            <w:pPr>
              <w:pStyle w:val="ListParagraph"/>
              <w:ind w:left="76"/>
              <w:rPr>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0F3FA2" w14:textId="77777777" w:rsidR="00785465" w:rsidRPr="009A6FE7" w:rsidRDefault="00785465" w:rsidP="009A6FE7">
            <w:pPr>
              <w:pStyle w:val="ListParagraph"/>
              <w:ind w:left="76"/>
              <w:rPr>
                <w:b/>
                <w:highlight w:val="yellow"/>
              </w:rPr>
            </w:pPr>
          </w:p>
        </w:tc>
        <w:tc>
          <w:tcPr>
            <w:tcW w:w="6093" w:type="dxa"/>
            <w:tcBorders>
              <w:top w:val="single" w:sz="4" w:space="0" w:color="auto"/>
              <w:left w:val="single" w:sz="4" w:space="0" w:color="auto"/>
              <w:right w:val="single" w:sz="4" w:space="0" w:color="auto"/>
            </w:tcBorders>
            <w:hideMark/>
          </w:tcPr>
          <w:p w14:paraId="740904E3" w14:textId="7E7C14F8" w:rsidR="00785465" w:rsidRPr="00785465" w:rsidRDefault="00785465" w:rsidP="009A6FE7">
            <w:pPr>
              <w:pStyle w:val="ListParagraph"/>
              <w:ind w:left="76"/>
            </w:pPr>
            <w:r w:rsidRPr="00785465">
              <w:t>The proportion of BAME in the top 5% of earners has also increased from 21.9% in 2016/17</w:t>
            </w:r>
            <w:r w:rsidR="00BB7752">
              <w:t>. This is on a par with national figures from DWP which state that 24% of BAME households are in the top income band earning £1000/wk or more gross.</w:t>
            </w:r>
          </w:p>
        </w:tc>
      </w:tr>
      <w:tr w:rsidR="00304071" w:rsidRPr="009A6FE7" w14:paraId="1C2B690A" w14:textId="77777777" w:rsidTr="006D10B8">
        <w:trPr>
          <w:trHeight w:val="2647"/>
        </w:trPr>
        <w:tc>
          <w:tcPr>
            <w:tcW w:w="5245" w:type="dxa"/>
            <w:tcBorders>
              <w:top w:val="single" w:sz="4" w:space="0" w:color="auto"/>
              <w:left w:val="single" w:sz="4" w:space="0" w:color="auto"/>
              <w:bottom w:val="single" w:sz="4" w:space="0" w:color="auto"/>
              <w:right w:val="single" w:sz="4" w:space="0" w:color="auto"/>
            </w:tcBorders>
          </w:tcPr>
          <w:p w14:paraId="793D7197" w14:textId="453BA5AA" w:rsidR="00304071" w:rsidRPr="00BB7752" w:rsidRDefault="00BB7752" w:rsidP="009A6FE7">
            <w:pPr>
              <w:pStyle w:val="ListParagraph"/>
              <w:ind w:left="76"/>
            </w:pPr>
            <w:r w:rsidRPr="00BB7752">
              <w:t>Improve the proportion of disabled employees</w:t>
            </w:r>
          </w:p>
          <w:p w14:paraId="1324D271" w14:textId="77777777" w:rsidR="00BB7752" w:rsidRDefault="00BB7752" w:rsidP="00BB7752">
            <w:pPr>
              <w:pStyle w:val="ListParagraph"/>
              <w:numPr>
                <w:ilvl w:val="0"/>
                <w:numId w:val="31"/>
              </w:numPr>
            </w:pPr>
            <w:r w:rsidRPr="00BB7752">
              <w:t>KPI</w:t>
            </w:r>
            <w:r>
              <w:t xml:space="preserve"> – proportion of disabled employees</w:t>
            </w:r>
          </w:p>
          <w:p w14:paraId="0CE985BC" w14:textId="06A9E7A9" w:rsidR="006D10B8" w:rsidRPr="00BB7752" w:rsidRDefault="006D10B8" w:rsidP="00BB7752">
            <w:pPr>
              <w:pStyle w:val="ListParagraph"/>
              <w:numPr>
                <w:ilvl w:val="0"/>
                <w:numId w:val="31"/>
              </w:numPr>
            </w:pPr>
            <w:r>
              <w:t>KPI - % of top 5% earners who are disabled</w:t>
            </w:r>
          </w:p>
        </w:tc>
        <w:tc>
          <w:tcPr>
            <w:tcW w:w="1274" w:type="dxa"/>
            <w:tcBorders>
              <w:top w:val="single" w:sz="4" w:space="0" w:color="auto"/>
              <w:left w:val="single" w:sz="4" w:space="0" w:color="auto"/>
              <w:bottom w:val="single" w:sz="4" w:space="0" w:color="auto"/>
              <w:right w:val="single" w:sz="4" w:space="0" w:color="auto"/>
            </w:tcBorders>
            <w:noWrap/>
          </w:tcPr>
          <w:p w14:paraId="06F5A694" w14:textId="77777777" w:rsidR="00304071" w:rsidRPr="00BB7752" w:rsidRDefault="00304071" w:rsidP="00BB7752">
            <w:pPr>
              <w:pStyle w:val="ListParagraph"/>
              <w:ind w:left="76"/>
            </w:pPr>
          </w:p>
          <w:p w14:paraId="3F28F11F" w14:textId="77777777" w:rsidR="00BB7752" w:rsidRDefault="00BB7752" w:rsidP="00BB7752">
            <w:pPr>
              <w:pStyle w:val="ListParagraph"/>
              <w:ind w:left="76"/>
            </w:pPr>
            <w:r w:rsidRPr="00BB7752">
              <w:t>3%</w:t>
            </w:r>
          </w:p>
          <w:p w14:paraId="75BC2BAD" w14:textId="20B70AFB" w:rsidR="006D10B8" w:rsidRPr="00BB7752" w:rsidRDefault="006D10B8" w:rsidP="00BB7752">
            <w:pPr>
              <w:pStyle w:val="ListParagraph"/>
              <w:ind w:left="76"/>
            </w:pPr>
            <w:r>
              <w:t>3%</w:t>
            </w:r>
          </w:p>
        </w:tc>
        <w:tc>
          <w:tcPr>
            <w:tcW w:w="1278" w:type="dxa"/>
            <w:tcBorders>
              <w:top w:val="single" w:sz="4" w:space="0" w:color="auto"/>
              <w:left w:val="single" w:sz="4" w:space="0" w:color="auto"/>
              <w:bottom w:val="single" w:sz="4" w:space="0" w:color="auto"/>
              <w:right w:val="single" w:sz="4" w:space="0" w:color="auto"/>
            </w:tcBorders>
            <w:noWrap/>
          </w:tcPr>
          <w:p w14:paraId="51C3019E" w14:textId="77777777" w:rsidR="00304071" w:rsidRDefault="00304071" w:rsidP="00BB7752">
            <w:pPr>
              <w:pStyle w:val="ListParagraph"/>
              <w:ind w:left="76"/>
            </w:pPr>
          </w:p>
          <w:p w14:paraId="292CF50F" w14:textId="77777777" w:rsidR="00BB7752" w:rsidRDefault="00BB7752" w:rsidP="00BB7752">
            <w:pPr>
              <w:pStyle w:val="ListParagraph"/>
              <w:ind w:left="76"/>
            </w:pPr>
            <w:r>
              <w:t>2.02%</w:t>
            </w:r>
          </w:p>
          <w:p w14:paraId="4EE47665" w14:textId="3CC20AEE" w:rsidR="006D10B8" w:rsidRPr="00BB7752" w:rsidRDefault="006D10B8" w:rsidP="00BB7752">
            <w:pPr>
              <w:pStyle w:val="ListParagraph"/>
              <w:ind w:left="76"/>
            </w:pPr>
            <w:r>
              <w:t>3.92%</w:t>
            </w:r>
          </w:p>
        </w:tc>
        <w:tc>
          <w:tcPr>
            <w:tcW w:w="1275" w:type="dxa"/>
            <w:tcBorders>
              <w:top w:val="single" w:sz="4" w:space="0" w:color="auto"/>
              <w:left w:val="single" w:sz="4" w:space="0" w:color="auto"/>
              <w:bottom w:val="single" w:sz="4" w:space="0" w:color="auto"/>
              <w:right w:val="single" w:sz="4" w:space="0" w:color="auto"/>
            </w:tcBorders>
          </w:tcPr>
          <w:p w14:paraId="4A917D1A" w14:textId="77777777" w:rsidR="00304071" w:rsidRDefault="00304071" w:rsidP="00BB7752">
            <w:pPr>
              <w:pStyle w:val="ListParagraph"/>
              <w:ind w:left="76"/>
              <w:rPr>
                <w:b/>
              </w:rPr>
            </w:pPr>
          </w:p>
          <w:p w14:paraId="7B2A1510" w14:textId="77777777" w:rsidR="00BB7752" w:rsidRDefault="00BB7752" w:rsidP="00BB7752">
            <w:pPr>
              <w:pStyle w:val="ListParagraph"/>
              <w:ind w:left="76"/>
              <w:rPr>
                <w:b/>
                <w:color w:val="FF0000"/>
              </w:rPr>
            </w:pPr>
            <w:r w:rsidRPr="00BB7752">
              <w:rPr>
                <w:b/>
                <w:color w:val="FF0000"/>
              </w:rPr>
              <w:t>HR</w:t>
            </w:r>
          </w:p>
          <w:p w14:paraId="2D9EE5EC" w14:textId="18770764" w:rsidR="006D10B8" w:rsidRPr="00BB7752" w:rsidRDefault="006D10B8" w:rsidP="00BB7752">
            <w:pPr>
              <w:pStyle w:val="ListParagraph"/>
              <w:ind w:left="76"/>
              <w:rPr>
                <w:b/>
              </w:rPr>
            </w:pPr>
            <w:r w:rsidRPr="006D10B8">
              <w:rPr>
                <w:b/>
                <w:color w:val="00B050"/>
              </w:rPr>
              <w:t>HG</w:t>
            </w:r>
          </w:p>
        </w:tc>
        <w:tc>
          <w:tcPr>
            <w:tcW w:w="6093" w:type="dxa"/>
            <w:tcBorders>
              <w:top w:val="single" w:sz="4" w:space="0" w:color="auto"/>
              <w:left w:val="single" w:sz="4" w:space="0" w:color="auto"/>
              <w:bottom w:val="single" w:sz="4" w:space="0" w:color="auto"/>
              <w:right w:val="single" w:sz="4" w:space="0" w:color="auto"/>
            </w:tcBorders>
          </w:tcPr>
          <w:p w14:paraId="177F6E26" w14:textId="0B38AE2B" w:rsidR="006D10B8" w:rsidRDefault="006D10B8" w:rsidP="009A6FE7">
            <w:pPr>
              <w:pStyle w:val="ListParagraph"/>
              <w:ind w:left="76"/>
            </w:pPr>
            <w:r>
              <w:t>The employment rate for disabled people has remained at around 2%, but has decreased from 2.2% in 2016/</w:t>
            </w:r>
            <w:r w:rsidR="0016341A">
              <w:t>17;</w:t>
            </w:r>
            <w:r>
              <w:t xml:space="preserve"> however there has been good progress in increasing the number of disabled people in the top5% of earners in the council.</w:t>
            </w:r>
          </w:p>
          <w:p w14:paraId="0EB15CA2" w14:textId="77777777" w:rsidR="006D10B8" w:rsidRDefault="006D10B8" w:rsidP="009A6FE7">
            <w:pPr>
              <w:pStyle w:val="ListParagraph"/>
              <w:ind w:left="76"/>
            </w:pPr>
          </w:p>
          <w:p w14:paraId="43E7516C" w14:textId="180BCB35" w:rsidR="00304071" w:rsidRPr="00BB7752" w:rsidRDefault="006D10B8" w:rsidP="009A6FE7">
            <w:pPr>
              <w:pStyle w:val="ListParagraph"/>
              <w:ind w:left="76"/>
            </w:pPr>
            <w:r>
              <w:t>According to the Labour Force survey there are over 3.4m disabled people in employment in the UK which would represent about 5% of the population.</w:t>
            </w:r>
          </w:p>
        </w:tc>
      </w:tr>
      <w:tr w:rsidR="006D10B8" w:rsidRPr="009A6FE7" w14:paraId="2D6D2B44" w14:textId="77777777" w:rsidTr="009A6FE7">
        <w:trPr>
          <w:trHeight w:val="628"/>
        </w:trPr>
        <w:tc>
          <w:tcPr>
            <w:tcW w:w="5245" w:type="dxa"/>
            <w:tcBorders>
              <w:top w:val="single" w:sz="4" w:space="0" w:color="auto"/>
              <w:left w:val="single" w:sz="4" w:space="0" w:color="auto"/>
              <w:bottom w:val="single" w:sz="4" w:space="0" w:color="auto"/>
              <w:right w:val="single" w:sz="4" w:space="0" w:color="auto"/>
            </w:tcBorders>
          </w:tcPr>
          <w:p w14:paraId="2B0608C9" w14:textId="77777777" w:rsidR="006D10B8" w:rsidRDefault="006D10B8" w:rsidP="009A6FE7">
            <w:pPr>
              <w:pStyle w:val="ListParagraph"/>
              <w:ind w:left="76"/>
            </w:pPr>
            <w:r w:rsidRPr="006D10B8">
              <w:t>Improve % top 5% earners who are women</w:t>
            </w:r>
          </w:p>
          <w:p w14:paraId="3EE5E614" w14:textId="070F8A36" w:rsidR="00F27DE4" w:rsidRPr="006D10B8" w:rsidRDefault="00F27DE4" w:rsidP="00F27DE4">
            <w:pPr>
              <w:pStyle w:val="ListParagraph"/>
              <w:numPr>
                <w:ilvl w:val="0"/>
                <w:numId w:val="32"/>
              </w:numPr>
            </w:pPr>
            <w:r>
              <w:t>KPI - % top5% earners who are women</w:t>
            </w:r>
          </w:p>
        </w:tc>
        <w:tc>
          <w:tcPr>
            <w:tcW w:w="1274" w:type="dxa"/>
            <w:tcBorders>
              <w:top w:val="single" w:sz="4" w:space="0" w:color="auto"/>
              <w:left w:val="single" w:sz="4" w:space="0" w:color="auto"/>
              <w:bottom w:val="single" w:sz="4" w:space="0" w:color="auto"/>
              <w:right w:val="single" w:sz="4" w:space="0" w:color="auto"/>
            </w:tcBorders>
            <w:noWrap/>
            <w:vAlign w:val="center"/>
          </w:tcPr>
          <w:p w14:paraId="14B87126" w14:textId="343604E8" w:rsidR="006D10B8" w:rsidRPr="006D10B8" w:rsidRDefault="006D10B8" w:rsidP="009A6FE7">
            <w:pPr>
              <w:pStyle w:val="ListParagraph"/>
              <w:ind w:left="76"/>
            </w:pPr>
            <w:r w:rsidRPr="006D10B8">
              <w:t>50%</w:t>
            </w:r>
          </w:p>
        </w:tc>
        <w:tc>
          <w:tcPr>
            <w:tcW w:w="1278" w:type="dxa"/>
            <w:tcBorders>
              <w:top w:val="single" w:sz="4" w:space="0" w:color="auto"/>
              <w:left w:val="single" w:sz="4" w:space="0" w:color="auto"/>
              <w:bottom w:val="single" w:sz="4" w:space="0" w:color="auto"/>
              <w:right w:val="single" w:sz="4" w:space="0" w:color="auto"/>
            </w:tcBorders>
            <w:noWrap/>
            <w:vAlign w:val="center"/>
          </w:tcPr>
          <w:p w14:paraId="02D97728" w14:textId="1766F9C5" w:rsidR="006D10B8" w:rsidRPr="006D10B8" w:rsidRDefault="006D10B8" w:rsidP="009A6FE7">
            <w:pPr>
              <w:pStyle w:val="ListParagraph"/>
              <w:ind w:left="76"/>
            </w:pPr>
            <w:r w:rsidRPr="006D10B8">
              <w:t>51.96%</w:t>
            </w:r>
          </w:p>
        </w:tc>
        <w:tc>
          <w:tcPr>
            <w:tcW w:w="1275" w:type="dxa"/>
            <w:tcBorders>
              <w:top w:val="single" w:sz="4" w:space="0" w:color="auto"/>
              <w:left w:val="single" w:sz="4" w:space="0" w:color="auto"/>
              <w:bottom w:val="single" w:sz="4" w:space="0" w:color="auto"/>
              <w:right w:val="single" w:sz="4" w:space="0" w:color="auto"/>
            </w:tcBorders>
            <w:vAlign w:val="center"/>
          </w:tcPr>
          <w:p w14:paraId="6BBCDD6B" w14:textId="6488CAF6" w:rsidR="006D10B8" w:rsidRPr="006D10B8" w:rsidRDefault="006D10B8" w:rsidP="009A6FE7">
            <w:pPr>
              <w:pStyle w:val="ListParagraph"/>
              <w:ind w:left="76"/>
              <w:rPr>
                <w:b/>
              </w:rPr>
            </w:pPr>
            <w:r w:rsidRPr="006D10B8">
              <w:rPr>
                <w:b/>
                <w:color w:val="00B050"/>
              </w:rPr>
              <w:t>LG</w:t>
            </w:r>
          </w:p>
        </w:tc>
        <w:tc>
          <w:tcPr>
            <w:tcW w:w="6093" w:type="dxa"/>
            <w:tcBorders>
              <w:top w:val="single" w:sz="4" w:space="0" w:color="auto"/>
              <w:left w:val="single" w:sz="4" w:space="0" w:color="auto"/>
              <w:bottom w:val="single" w:sz="4" w:space="0" w:color="auto"/>
              <w:right w:val="single" w:sz="4" w:space="0" w:color="auto"/>
            </w:tcBorders>
          </w:tcPr>
          <w:p w14:paraId="4787524D" w14:textId="3AD2019F" w:rsidR="006D10B8" w:rsidRPr="006D10B8" w:rsidRDefault="006D10B8" w:rsidP="00F27DE4">
            <w:pPr>
              <w:pStyle w:val="ListParagraph"/>
              <w:ind w:left="76"/>
            </w:pPr>
            <w:r>
              <w:t xml:space="preserve">The actual rate has declined </w:t>
            </w:r>
            <w:r w:rsidR="00F27DE4">
              <w:t>by 2.3%</w:t>
            </w:r>
            <w:r>
              <w:t xml:space="preserve"> since 2016/17</w:t>
            </w:r>
            <w:r w:rsidR="00F27DE4">
              <w:t xml:space="preserve"> but remains above target. The Council’s gender pay gap report also presents a positive story about female pay in the council.</w:t>
            </w:r>
          </w:p>
        </w:tc>
      </w:tr>
      <w:tr w:rsidR="00F27DE4" w:rsidRPr="009A6FE7" w14:paraId="44EF2253" w14:textId="77777777" w:rsidTr="005D290D">
        <w:trPr>
          <w:trHeight w:val="1266"/>
        </w:trPr>
        <w:tc>
          <w:tcPr>
            <w:tcW w:w="5245" w:type="dxa"/>
            <w:tcBorders>
              <w:top w:val="single" w:sz="4" w:space="0" w:color="auto"/>
              <w:left w:val="single" w:sz="4" w:space="0" w:color="auto"/>
              <w:bottom w:val="single" w:sz="4" w:space="0" w:color="auto"/>
              <w:right w:val="single" w:sz="4" w:space="0" w:color="auto"/>
            </w:tcBorders>
            <w:hideMark/>
          </w:tcPr>
          <w:p w14:paraId="02215609" w14:textId="77777777" w:rsidR="00F27DE4" w:rsidRPr="00F27DE4" w:rsidRDefault="00F27DE4" w:rsidP="009A6FE7">
            <w:pPr>
              <w:pStyle w:val="ListParagraph"/>
              <w:ind w:left="76"/>
            </w:pPr>
            <w:r w:rsidRPr="00F27DE4">
              <w:t xml:space="preserve">Improve the recruitment, support and retention of young people </w:t>
            </w:r>
          </w:p>
          <w:p w14:paraId="53EE4C18" w14:textId="77777777" w:rsidR="00F27DE4" w:rsidRPr="00F27DE4" w:rsidRDefault="00F27DE4" w:rsidP="009A6FE7">
            <w:pPr>
              <w:pStyle w:val="ListParagraph"/>
              <w:numPr>
                <w:ilvl w:val="0"/>
                <w:numId w:val="24"/>
              </w:numPr>
            </w:pPr>
            <w:r w:rsidRPr="00F27DE4">
              <w:t>KPI - Proportion of Harrow Council employees aged less than 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77EA10BB" w14:textId="77777777" w:rsidR="00F27DE4" w:rsidRPr="00F27DE4" w:rsidRDefault="00F27DE4" w:rsidP="009A6FE7">
            <w:pPr>
              <w:pStyle w:val="ListParagraph"/>
              <w:ind w:left="76"/>
            </w:pPr>
            <w:r w:rsidRPr="00F27DE4">
              <w:t>3.31%</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6990C8DF" w14:textId="406F6D4F" w:rsidR="00F27DE4" w:rsidRPr="00F27DE4" w:rsidRDefault="00F27DE4" w:rsidP="009A6FE7">
            <w:pPr>
              <w:pStyle w:val="ListParagraph"/>
              <w:ind w:left="76"/>
            </w:pPr>
            <w:r>
              <w:t>2.41</w:t>
            </w:r>
            <w:r w:rsidRPr="00F27DE4">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77056D" w14:textId="77777777" w:rsidR="00F27DE4" w:rsidRPr="00F27DE4" w:rsidRDefault="00F27DE4" w:rsidP="009A6FE7">
            <w:pPr>
              <w:pStyle w:val="ListParagraph"/>
              <w:ind w:left="76"/>
              <w:rPr>
                <w:b/>
              </w:rPr>
            </w:pPr>
            <w:r w:rsidRPr="00F27DE4">
              <w:rPr>
                <w:b/>
                <w:color w:val="FF0000"/>
              </w:rPr>
              <w:t>HR</w:t>
            </w:r>
          </w:p>
        </w:tc>
        <w:tc>
          <w:tcPr>
            <w:tcW w:w="6093" w:type="dxa"/>
            <w:tcBorders>
              <w:top w:val="single" w:sz="4" w:space="0" w:color="auto"/>
              <w:left w:val="single" w:sz="4" w:space="0" w:color="auto"/>
              <w:right w:val="single" w:sz="4" w:space="0" w:color="auto"/>
            </w:tcBorders>
          </w:tcPr>
          <w:p w14:paraId="44BCB568" w14:textId="77777777" w:rsidR="00F27DE4" w:rsidRDefault="00F27DE4" w:rsidP="009A6FE7">
            <w:pPr>
              <w:pStyle w:val="ListParagraph"/>
              <w:ind w:left="76"/>
            </w:pPr>
            <w:r>
              <w:t>Despite strong performance in getting over 500 young people into apprenticeships in the borough, the percentage of employees under 25 in the council has fallen compared to 2016/17.</w:t>
            </w:r>
          </w:p>
          <w:p w14:paraId="5192D3E6" w14:textId="77777777" w:rsidR="00F27DE4" w:rsidRPr="00F27DE4" w:rsidRDefault="00F27DE4" w:rsidP="00F27DE4">
            <w:pPr>
              <w:pStyle w:val="ListParagraph"/>
              <w:ind w:left="76"/>
            </w:pPr>
            <w:r w:rsidRPr="00F27DE4">
              <w:t>We have meet with external recruitment provider, Pertemps, to identify actions that would</w:t>
            </w:r>
          </w:p>
          <w:p w14:paraId="5B180E72" w14:textId="674CC2C9" w:rsidR="00F27DE4" w:rsidRPr="00F27DE4" w:rsidRDefault="00F27DE4" w:rsidP="00F27DE4">
            <w:pPr>
              <w:pStyle w:val="ListParagraph"/>
              <w:ind w:left="76"/>
            </w:pPr>
            <w:proofErr w:type="gramStart"/>
            <w:r w:rsidRPr="00F27DE4">
              <w:lastRenderedPageBreak/>
              <w:t>encourage</w:t>
            </w:r>
            <w:proofErr w:type="gramEnd"/>
            <w:r w:rsidRPr="00F27DE4">
              <w:t xml:space="preserve"> young people to apply for opportunities in Harrow. We are also working with</w:t>
            </w:r>
            <w:r>
              <w:t xml:space="preserve"> </w:t>
            </w:r>
            <w:r w:rsidRPr="00F27DE4">
              <w:t>Xcite to identify apprentices that can be trained in areas across the council.</w:t>
            </w:r>
          </w:p>
        </w:tc>
      </w:tr>
      <w:tr w:rsidR="009A6FE7" w:rsidRPr="009A6FE7" w14:paraId="337EA006" w14:textId="77777777" w:rsidTr="002D4B8E">
        <w:tc>
          <w:tcPr>
            <w:tcW w:w="5245" w:type="dxa"/>
            <w:tcBorders>
              <w:top w:val="single" w:sz="4" w:space="0" w:color="auto"/>
              <w:left w:val="single" w:sz="4" w:space="0" w:color="auto"/>
              <w:bottom w:val="single" w:sz="4" w:space="0" w:color="auto"/>
              <w:right w:val="single" w:sz="4" w:space="0" w:color="auto"/>
            </w:tcBorders>
            <w:hideMark/>
          </w:tcPr>
          <w:p w14:paraId="70BE07A4" w14:textId="16882083" w:rsidR="009A6FE7" w:rsidRPr="00F27DE4" w:rsidRDefault="009A6FE7" w:rsidP="009A6FE7">
            <w:pPr>
              <w:pStyle w:val="ListParagraph"/>
              <w:ind w:left="76"/>
            </w:pPr>
            <w:r w:rsidRPr="00F27DE4">
              <w:lastRenderedPageBreak/>
              <w:t>All staff to complete the mandatory Equality Matters training every two years to ensure they are up to date with the latest legislation, Council’s policies and best practice.</w:t>
            </w:r>
          </w:p>
          <w:p w14:paraId="45380647" w14:textId="77777777" w:rsidR="009A6FE7" w:rsidRPr="00F27DE4" w:rsidRDefault="009A6FE7" w:rsidP="009A6FE7">
            <w:pPr>
              <w:pStyle w:val="ListParagraph"/>
              <w:numPr>
                <w:ilvl w:val="0"/>
                <w:numId w:val="25"/>
              </w:numPr>
            </w:pPr>
            <w:r w:rsidRPr="00F27DE4">
              <w:t xml:space="preserve">KPI - % of new starters who completed the mandatory Equality Matters training (either face to face or E-Learning Module) within the first 8 weeks of their employment </w:t>
            </w:r>
          </w:p>
          <w:p w14:paraId="1155BA9F" w14:textId="77777777" w:rsidR="009A6FE7" w:rsidRPr="00F27DE4" w:rsidRDefault="009A6FE7" w:rsidP="009A6FE7">
            <w:pPr>
              <w:pStyle w:val="ListParagraph"/>
              <w:numPr>
                <w:ilvl w:val="0"/>
                <w:numId w:val="25"/>
              </w:numPr>
            </w:pPr>
            <w:r w:rsidRPr="00F27DE4">
              <w:t>KPI - % of existing staff (as at April '16) who are up to date with Equality Matters refresher training (either face to face or E-Learning Module)</w:t>
            </w:r>
          </w:p>
        </w:tc>
        <w:tc>
          <w:tcPr>
            <w:tcW w:w="1274" w:type="dxa"/>
            <w:tcBorders>
              <w:top w:val="single" w:sz="4" w:space="0" w:color="auto"/>
              <w:left w:val="single" w:sz="4" w:space="0" w:color="auto"/>
              <w:bottom w:val="single" w:sz="4" w:space="0" w:color="auto"/>
              <w:right w:val="single" w:sz="4" w:space="0" w:color="auto"/>
            </w:tcBorders>
            <w:noWrap/>
          </w:tcPr>
          <w:p w14:paraId="20E51DA9" w14:textId="77777777" w:rsidR="009A6FE7" w:rsidRPr="00F27DE4" w:rsidRDefault="009A6FE7" w:rsidP="002D4B8E">
            <w:pPr>
              <w:pStyle w:val="ListParagraph"/>
              <w:ind w:left="76"/>
            </w:pPr>
          </w:p>
          <w:p w14:paraId="10AFA334" w14:textId="77777777" w:rsidR="009A6FE7" w:rsidRPr="00F27DE4" w:rsidRDefault="009A6FE7" w:rsidP="002D4B8E">
            <w:pPr>
              <w:pStyle w:val="ListParagraph"/>
              <w:ind w:left="76"/>
            </w:pPr>
          </w:p>
          <w:p w14:paraId="3D14CE51" w14:textId="77777777" w:rsidR="009A6FE7" w:rsidRPr="00F27DE4" w:rsidRDefault="009A6FE7" w:rsidP="002D4B8E">
            <w:pPr>
              <w:pStyle w:val="ListParagraph"/>
              <w:ind w:left="76"/>
            </w:pPr>
          </w:p>
          <w:p w14:paraId="623BDDC1" w14:textId="77777777" w:rsidR="009A6FE7" w:rsidRPr="00F27DE4" w:rsidRDefault="009A6FE7" w:rsidP="002D4B8E">
            <w:pPr>
              <w:pStyle w:val="ListParagraph"/>
              <w:ind w:left="76"/>
            </w:pPr>
          </w:p>
          <w:p w14:paraId="2DB71745" w14:textId="67ED0DF1" w:rsidR="009A6FE7" w:rsidRPr="00F27DE4" w:rsidRDefault="00F27DE4" w:rsidP="002D4B8E">
            <w:pPr>
              <w:pStyle w:val="ListParagraph"/>
              <w:ind w:left="76"/>
            </w:pPr>
            <w:r>
              <w:t>95</w:t>
            </w:r>
            <w:r w:rsidR="009A6FE7" w:rsidRPr="00F27DE4">
              <w:t>%</w:t>
            </w:r>
          </w:p>
          <w:p w14:paraId="640489F5" w14:textId="77777777" w:rsidR="009A6FE7" w:rsidRPr="00F27DE4" w:rsidRDefault="009A6FE7" w:rsidP="002D4B8E">
            <w:pPr>
              <w:pStyle w:val="ListParagraph"/>
              <w:ind w:left="76"/>
            </w:pPr>
          </w:p>
          <w:p w14:paraId="1D2D5851" w14:textId="77777777" w:rsidR="009A6FE7" w:rsidRPr="00F27DE4" w:rsidRDefault="009A6FE7" w:rsidP="002D4B8E">
            <w:pPr>
              <w:pStyle w:val="ListParagraph"/>
              <w:ind w:left="76"/>
            </w:pPr>
          </w:p>
          <w:p w14:paraId="6FA1ECDF" w14:textId="77777777" w:rsidR="009A6FE7" w:rsidRPr="00F27DE4" w:rsidRDefault="009A6FE7" w:rsidP="002D4B8E">
            <w:pPr>
              <w:pStyle w:val="ListParagraph"/>
              <w:ind w:left="76"/>
            </w:pPr>
          </w:p>
          <w:p w14:paraId="320911DC" w14:textId="5B3FDB3E" w:rsidR="009A6FE7" w:rsidRPr="00F27DE4" w:rsidRDefault="002D4B8E" w:rsidP="002D4B8E">
            <w:pPr>
              <w:pStyle w:val="ListParagraph"/>
              <w:ind w:left="76"/>
            </w:pPr>
            <w:r>
              <w:t>95</w:t>
            </w:r>
            <w:r w:rsidR="009A6FE7" w:rsidRPr="00F27DE4">
              <w:t>%</w:t>
            </w:r>
          </w:p>
        </w:tc>
        <w:tc>
          <w:tcPr>
            <w:tcW w:w="1278" w:type="dxa"/>
            <w:tcBorders>
              <w:top w:val="single" w:sz="4" w:space="0" w:color="auto"/>
              <w:left w:val="single" w:sz="4" w:space="0" w:color="auto"/>
              <w:bottom w:val="single" w:sz="4" w:space="0" w:color="auto"/>
              <w:right w:val="single" w:sz="4" w:space="0" w:color="auto"/>
            </w:tcBorders>
            <w:noWrap/>
          </w:tcPr>
          <w:p w14:paraId="20FEFFAA" w14:textId="77777777" w:rsidR="009A6FE7" w:rsidRPr="00F27DE4" w:rsidRDefault="009A6FE7" w:rsidP="002D4B8E">
            <w:pPr>
              <w:pStyle w:val="ListParagraph"/>
              <w:ind w:left="76"/>
            </w:pPr>
          </w:p>
          <w:p w14:paraId="71A2CEF5" w14:textId="77777777" w:rsidR="009A6FE7" w:rsidRPr="00F27DE4" w:rsidRDefault="009A6FE7" w:rsidP="002D4B8E">
            <w:pPr>
              <w:pStyle w:val="ListParagraph"/>
              <w:ind w:left="76"/>
            </w:pPr>
          </w:p>
          <w:p w14:paraId="0DEA81AC" w14:textId="77777777" w:rsidR="009A6FE7" w:rsidRPr="00F27DE4" w:rsidRDefault="009A6FE7" w:rsidP="002D4B8E">
            <w:pPr>
              <w:pStyle w:val="ListParagraph"/>
              <w:ind w:left="76"/>
            </w:pPr>
          </w:p>
          <w:p w14:paraId="787D4FEA" w14:textId="77777777" w:rsidR="009A6FE7" w:rsidRPr="00F27DE4" w:rsidRDefault="009A6FE7" w:rsidP="002D4B8E">
            <w:pPr>
              <w:pStyle w:val="ListParagraph"/>
              <w:ind w:left="76"/>
            </w:pPr>
          </w:p>
          <w:p w14:paraId="7A6FB931" w14:textId="77777777" w:rsidR="009A6FE7" w:rsidRPr="00F27DE4" w:rsidRDefault="009A6FE7" w:rsidP="002D4B8E">
            <w:pPr>
              <w:pStyle w:val="ListParagraph"/>
              <w:ind w:left="76"/>
            </w:pPr>
            <w:r w:rsidRPr="00F27DE4">
              <w:t>36%</w:t>
            </w:r>
          </w:p>
          <w:p w14:paraId="2B20904D" w14:textId="77777777" w:rsidR="009A6FE7" w:rsidRPr="00F27DE4" w:rsidRDefault="009A6FE7" w:rsidP="002D4B8E">
            <w:pPr>
              <w:pStyle w:val="ListParagraph"/>
              <w:ind w:left="76"/>
            </w:pPr>
          </w:p>
          <w:p w14:paraId="1B4CAB6C" w14:textId="77777777" w:rsidR="009A6FE7" w:rsidRPr="00F27DE4" w:rsidRDefault="009A6FE7" w:rsidP="002D4B8E">
            <w:pPr>
              <w:pStyle w:val="ListParagraph"/>
              <w:ind w:left="76"/>
            </w:pPr>
          </w:p>
          <w:p w14:paraId="675912B7" w14:textId="77777777" w:rsidR="009A6FE7" w:rsidRPr="00F27DE4" w:rsidRDefault="009A6FE7" w:rsidP="002D4B8E">
            <w:pPr>
              <w:pStyle w:val="ListParagraph"/>
              <w:ind w:left="76"/>
            </w:pPr>
          </w:p>
          <w:p w14:paraId="5F2FF76E" w14:textId="7D8DFE2F" w:rsidR="009A6FE7" w:rsidRPr="00F27DE4" w:rsidRDefault="002D4B8E" w:rsidP="002D4B8E">
            <w:pPr>
              <w:pStyle w:val="ListParagraph"/>
              <w:ind w:left="76"/>
            </w:pPr>
            <w:r>
              <w:t>75</w:t>
            </w:r>
            <w:r w:rsidR="009A6FE7" w:rsidRPr="00F27DE4">
              <w:t>%</w:t>
            </w:r>
          </w:p>
        </w:tc>
        <w:tc>
          <w:tcPr>
            <w:tcW w:w="1275" w:type="dxa"/>
            <w:tcBorders>
              <w:top w:val="single" w:sz="4" w:space="0" w:color="auto"/>
              <w:left w:val="single" w:sz="4" w:space="0" w:color="auto"/>
              <w:bottom w:val="single" w:sz="4" w:space="0" w:color="auto"/>
              <w:right w:val="single" w:sz="4" w:space="0" w:color="auto"/>
            </w:tcBorders>
          </w:tcPr>
          <w:p w14:paraId="4E3427F4" w14:textId="77777777" w:rsidR="009A6FE7" w:rsidRPr="00F27DE4" w:rsidRDefault="009A6FE7" w:rsidP="002D4B8E">
            <w:pPr>
              <w:pStyle w:val="ListParagraph"/>
              <w:ind w:left="76"/>
              <w:rPr>
                <w:b/>
              </w:rPr>
            </w:pPr>
          </w:p>
          <w:p w14:paraId="41ED922F" w14:textId="77777777" w:rsidR="009A6FE7" w:rsidRPr="00F27DE4" w:rsidRDefault="009A6FE7" w:rsidP="002D4B8E">
            <w:pPr>
              <w:pStyle w:val="ListParagraph"/>
              <w:ind w:left="76"/>
              <w:rPr>
                <w:b/>
              </w:rPr>
            </w:pPr>
          </w:p>
          <w:p w14:paraId="520DE70C" w14:textId="77777777" w:rsidR="009A6FE7" w:rsidRPr="00F27DE4" w:rsidRDefault="009A6FE7" w:rsidP="002D4B8E">
            <w:pPr>
              <w:pStyle w:val="ListParagraph"/>
              <w:ind w:left="76"/>
              <w:rPr>
                <w:b/>
              </w:rPr>
            </w:pPr>
          </w:p>
          <w:p w14:paraId="7A658641" w14:textId="77777777" w:rsidR="009A6FE7" w:rsidRPr="00F27DE4" w:rsidRDefault="009A6FE7" w:rsidP="002D4B8E">
            <w:pPr>
              <w:pStyle w:val="ListParagraph"/>
              <w:ind w:left="76"/>
              <w:rPr>
                <w:b/>
              </w:rPr>
            </w:pPr>
          </w:p>
          <w:p w14:paraId="23DC7615" w14:textId="77777777" w:rsidR="009A6FE7" w:rsidRPr="002D4B8E" w:rsidRDefault="009A6FE7" w:rsidP="002D4B8E">
            <w:pPr>
              <w:pStyle w:val="ListParagraph"/>
              <w:ind w:left="76"/>
              <w:rPr>
                <w:b/>
                <w:color w:val="FF0000"/>
              </w:rPr>
            </w:pPr>
            <w:r w:rsidRPr="002D4B8E">
              <w:rPr>
                <w:b/>
                <w:color w:val="FF0000"/>
              </w:rPr>
              <w:t>HR</w:t>
            </w:r>
          </w:p>
          <w:p w14:paraId="5BAAD0E1" w14:textId="77777777" w:rsidR="009A6FE7" w:rsidRPr="002D4B8E" w:rsidRDefault="009A6FE7" w:rsidP="002D4B8E">
            <w:pPr>
              <w:pStyle w:val="ListParagraph"/>
              <w:ind w:left="76"/>
              <w:rPr>
                <w:b/>
                <w:color w:val="FF0000"/>
              </w:rPr>
            </w:pPr>
          </w:p>
          <w:p w14:paraId="431C2BFE" w14:textId="77777777" w:rsidR="009A6FE7" w:rsidRPr="002D4B8E" w:rsidRDefault="009A6FE7" w:rsidP="002D4B8E">
            <w:pPr>
              <w:pStyle w:val="ListParagraph"/>
              <w:ind w:left="76"/>
              <w:rPr>
                <w:b/>
                <w:color w:val="FF0000"/>
              </w:rPr>
            </w:pPr>
          </w:p>
          <w:p w14:paraId="2AD08A76" w14:textId="77777777" w:rsidR="009A6FE7" w:rsidRPr="002D4B8E" w:rsidRDefault="009A6FE7" w:rsidP="002D4B8E">
            <w:pPr>
              <w:pStyle w:val="ListParagraph"/>
              <w:ind w:left="76"/>
              <w:rPr>
                <w:b/>
                <w:color w:val="FF0000"/>
              </w:rPr>
            </w:pPr>
          </w:p>
          <w:p w14:paraId="1D5CACE2" w14:textId="77777777" w:rsidR="009A6FE7" w:rsidRPr="00F27DE4" w:rsidRDefault="009A6FE7" w:rsidP="002D4B8E">
            <w:pPr>
              <w:pStyle w:val="ListParagraph"/>
              <w:ind w:left="76"/>
              <w:rPr>
                <w:b/>
              </w:rPr>
            </w:pPr>
            <w:r w:rsidRPr="002D4B8E">
              <w:rPr>
                <w:b/>
                <w:color w:val="FF0000"/>
              </w:rPr>
              <w:t>HR</w:t>
            </w:r>
          </w:p>
        </w:tc>
        <w:tc>
          <w:tcPr>
            <w:tcW w:w="6093" w:type="dxa"/>
            <w:tcBorders>
              <w:top w:val="single" w:sz="4" w:space="0" w:color="auto"/>
              <w:left w:val="single" w:sz="4" w:space="0" w:color="auto"/>
              <w:bottom w:val="single" w:sz="4" w:space="0" w:color="auto"/>
              <w:right w:val="single" w:sz="4" w:space="0" w:color="auto"/>
            </w:tcBorders>
          </w:tcPr>
          <w:p w14:paraId="5A81EB91" w14:textId="2EE70470" w:rsidR="002D4B8E" w:rsidRPr="002D4B8E" w:rsidRDefault="002D4B8E" w:rsidP="002D4B8E">
            <w:r>
              <w:t xml:space="preserve">The % of new starters completing the training is higher than it was last year (up 10%) but has fallen back from a high of 78% in Q3. </w:t>
            </w:r>
            <w:r w:rsidRPr="002D4B8E">
              <w:t xml:space="preserve">As previously reported, at present a high proportion of depot staff have no access to online training. We are planning </w:t>
            </w:r>
            <w:r>
              <w:t>on</w:t>
            </w:r>
            <w:r w:rsidRPr="002D4B8E">
              <w:t xml:space="preserve"> undertaking team ELearning and face-to-f</w:t>
            </w:r>
            <w:r>
              <w:t>ace sessions throughout 2018/19 to improve the situation</w:t>
            </w:r>
          </w:p>
          <w:p w14:paraId="31A334D1" w14:textId="77777777" w:rsidR="009A6FE7" w:rsidRDefault="009A6FE7" w:rsidP="009A6FE7">
            <w:pPr>
              <w:pStyle w:val="ListParagraph"/>
              <w:ind w:left="76"/>
            </w:pPr>
          </w:p>
          <w:p w14:paraId="51255590" w14:textId="691FECCC" w:rsidR="002D4B8E" w:rsidRPr="00F27DE4" w:rsidRDefault="002D4B8E" w:rsidP="009A6FE7">
            <w:pPr>
              <w:pStyle w:val="ListParagraph"/>
              <w:ind w:left="76"/>
            </w:pPr>
            <w:r>
              <w:t xml:space="preserve">The % of existing staff completing the training has increased by 12% from last year. Improved reporting from the Learning Management System and a greater focus on this from managers has contributed to the increase </w:t>
            </w:r>
          </w:p>
          <w:p w14:paraId="31F58867" w14:textId="77777777" w:rsidR="009A6FE7" w:rsidRPr="00F27DE4" w:rsidRDefault="009A6FE7" w:rsidP="002D4B8E"/>
        </w:tc>
      </w:tr>
      <w:tr w:rsidR="009A6FE7" w:rsidRPr="009A6FE7" w14:paraId="442650D7" w14:textId="77777777" w:rsidTr="009A6FE7">
        <w:trPr>
          <w:trHeight w:val="525"/>
        </w:trPr>
        <w:tc>
          <w:tcPr>
            <w:tcW w:w="15165" w:type="dxa"/>
            <w:gridSpan w:val="5"/>
            <w:tcBorders>
              <w:top w:val="single" w:sz="4" w:space="0" w:color="auto"/>
              <w:left w:val="single" w:sz="4" w:space="0" w:color="auto"/>
              <w:bottom w:val="single" w:sz="4" w:space="0" w:color="auto"/>
              <w:right w:val="single" w:sz="4" w:space="0" w:color="auto"/>
            </w:tcBorders>
            <w:shd w:val="clear" w:color="auto" w:fill="CCC0DA"/>
            <w:vAlign w:val="center"/>
            <w:hideMark/>
          </w:tcPr>
          <w:p w14:paraId="1BCDE065" w14:textId="77777777" w:rsidR="009A6FE7" w:rsidRPr="009A6FE7" w:rsidRDefault="009A6FE7" w:rsidP="009A6FE7">
            <w:pPr>
              <w:pStyle w:val="ListParagraph"/>
              <w:ind w:left="76"/>
              <w:rPr>
                <w:b/>
                <w:highlight w:val="yellow"/>
              </w:rPr>
            </w:pPr>
            <w:r w:rsidRPr="00E1613C">
              <w:rPr>
                <w:b/>
              </w:rPr>
              <w:t>Objective 2: An improved understanding of our communities to ensure that services are fair, equitable and accessible to all and reduce inequality</w:t>
            </w:r>
          </w:p>
        </w:tc>
      </w:tr>
      <w:tr w:rsidR="009A6FE7" w:rsidRPr="009A6FE7" w14:paraId="4CE2F480" w14:textId="77777777" w:rsidTr="009A6FE7">
        <w:tc>
          <w:tcPr>
            <w:tcW w:w="5245" w:type="dxa"/>
            <w:tcBorders>
              <w:top w:val="single" w:sz="4" w:space="0" w:color="auto"/>
              <w:left w:val="single" w:sz="4" w:space="0" w:color="auto"/>
              <w:bottom w:val="single" w:sz="4" w:space="0" w:color="auto"/>
              <w:right w:val="single" w:sz="4" w:space="0" w:color="auto"/>
            </w:tcBorders>
            <w:hideMark/>
          </w:tcPr>
          <w:p w14:paraId="66B5ABFE" w14:textId="77777777" w:rsidR="009A6FE7" w:rsidRPr="00E1613C" w:rsidRDefault="009A6FE7" w:rsidP="009A6FE7">
            <w:pPr>
              <w:pStyle w:val="ListParagraph"/>
              <w:ind w:left="76"/>
            </w:pPr>
            <w:r w:rsidRPr="00E1613C">
              <w:t>DisabledGo – increase the number of people who use the Access Guide</w:t>
            </w:r>
          </w:p>
          <w:p w14:paraId="62941EFD" w14:textId="4029B0BA" w:rsidR="009A6FE7" w:rsidRPr="00E1613C" w:rsidRDefault="009A6FE7" w:rsidP="00E1613C">
            <w:pPr>
              <w:pStyle w:val="ListParagraph"/>
              <w:numPr>
                <w:ilvl w:val="0"/>
                <w:numId w:val="28"/>
              </w:numPr>
            </w:pPr>
            <w:r w:rsidRPr="00E1613C">
              <w:t xml:space="preserve">KPI </w:t>
            </w:r>
            <w:r w:rsidR="00E1613C">
              <w:t>–</w:t>
            </w:r>
            <w:r w:rsidRPr="00E1613C">
              <w:t xml:space="preserve"> </w:t>
            </w:r>
            <w:r w:rsidR="00E1613C">
              <w:t>No. access guide views</w:t>
            </w:r>
          </w:p>
        </w:tc>
        <w:tc>
          <w:tcPr>
            <w:tcW w:w="1274" w:type="dxa"/>
            <w:tcBorders>
              <w:top w:val="single" w:sz="4" w:space="0" w:color="auto"/>
              <w:left w:val="single" w:sz="4" w:space="0" w:color="auto"/>
              <w:bottom w:val="single" w:sz="4" w:space="0" w:color="auto"/>
              <w:right w:val="single" w:sz="4" w:space="0" w:color="auto"/>
            </w:tcBorders>
            <w:noWrap/>
            <w:vAlign w:val="center"/>
          </w:tcPr>
          <w:p w14:paraId="6775C971" w14:textId="77777777" w:rsidR="009A6FE7" w:rsidRPr="00E1613C" w:rsidRDefault="009A6FE7" w:rsidP="009A6FE7">
            <w:pPr>
              <w:pStyle w:val="ListParagraph"/>
              <w:ind w:left="76"/>
            </w:pPr>
          </w:p>
          <w:p w14:paraId="2CBDE5B8" w14:textId="7979904D" w:rsidR="009A6FE7" w:rsidRPr="00E1613C" w:rsidRDefault="009A6FE7" w:rsidP="00E1613C">
            <w:pPr>
              <w:pStyle w:val="ListParagraph"/>
              <w:ind w:left="76"/>
            </w:pPr>
            <w:r w:rsidRPr="00E1613C">
              <w:t>8,</w:t>
            </w:r>
            <w:r w:rsidR="00E1613C">
              <w:t>000</w:t>
            </w:r>
          </w:p>
        </w:tc>
        <w:tc>
          <w:tcPr>
            <w:tcW w:w="1278" w:type="dxa"/>
            <w:tcBorders>
              <w:top w:val="single" w:sz="4" w:space="0" w:color="auto"/>
              <w:left w:val="single" w:sz="4" w:space="0" w:color="auto"/>
              <w:bottom w:val="single" w:sz="4" w:space="0" w:color="auto"/>
              <w:right w:val="single" w:sz="4" w:space="0" w:color="auto"/>
            </w:tcBorders>
            <w:noWrap/>
            <w:vAlign w:val="center"/>
          </w:tcPr>
          <w:p w14:paraId="0C228C61" w14:textId="77777777" w:rsidR="009A6FE7" w:rsidRPr="00E1613C" w:rsidRDefault="009A6FE7" w:rsidP="009A6FE7">
            <w:pPr>
              <w:pStyle w:val="ListParagraph"/>
              <w:ind w:left="76"/>
            </w:pPr>
          </w:p>
          <w:p w14:paraId="2470121F" w14:textId="2567EC29" w:rsidR="009A6FE7" w:rsidRPr="00E1613C" w:rsidRDefault="00E1613C" w:rsidP="009A6FE7">
            <w:pPr>
              <w:pStyle w:val="ListParagraph"/>
              <w:ind w:left="76"/>
            </w:pPr>
            <w:r>
              <w:t>8,806</w:t>
            </w:r>
          </w:p>
        </w:tc>
        <w:tc>
          <w:tcPr>
            <w:tcW w:w="1275" w:type="dxa"/>
            <w:tcBorders>
              <w:top w:val="single" w:sz="4" w:space="0" w:color="auto"/>
              <w:left w:val="single" w:sz="4" w:space="0" w:color="auto"/>
              <w:bottom w:val="single" w:sz="4" w:space="0" w:color="auto"/>
              <w:right w:val="single" w:sz="4" w:space="0" w:color="auto"/>
            </w:tcBorders>
            <w:vAlign w:val="center"/>
          </w:tcPr>
          <w:p w14:paraId="7A740188" w14:textId="77777777" w:rsidR="009A6FE7" w:rsidRPr="00E1613C" w:rsidRDefault="009A6FE7" w:rsidP="009A6FE7">
            <w:pPr>
              <w:pStyle w:val="ListParagraph"/>
              <w:ind w:left="76"/>
              <w:rPr>
                <w:b/>
              </w:rPr>
            </w:pPr>
          </w:p>
          <w:p w14:paraId="4F6BA92E" w14:textId="77777777" w:rsidR="009A6FE7" w:rsidRPr="00E1613C" w:rsidRDefault="009A6FE7" w:rsidP="009A6FE7">
            <w:pPr>
              <w:pStyle w:val="ListParagraph"/>
              <w:ind w:left="76"/>
              <w:rPr>
                <w:b/>
              </w:rPr>
            </w:pPr>
            <w:r w:rsidRPr="00E1613C">
              <w:rPr>
                <w:b/>
                <w:color w:val="00B050"/>
              </w:rPr>
              <w:t>HG</w:t>
            </w:r>
          </w:p>
        </w:tc>
        <w:tc>
          <w:tcPr>
            <w:tcW w:w="6093" w:type="dxa"/>
            <w:tcBorders>
              <w:top w:val="single" w:sz="4" w:space="0" w:color="auto"/>
              <w:left w:val="single" w:sz="4" w:space="0" w:color="auto"/>
              <w:bottom w:val="single" w:sz="4" w:space="0" w:color="auto"/>
              <w:right w:val="single" w:sz="4" w:space="0" w:color="auto"/>
            </w:tcBorders>
            <w:hideMark/>
          </w:tcPr>
          <w:p w14:paraId="70461D67" w14:textId="418561BE" w:rsidR="009A6FE7" w:rsidRPr="00E1613C" w:rsidRDefault="00E1613C" w:rsidP="00E1613C">
            <w:pPr>
              <w:pStyle w:val="ListParagraph"/>
              <w:ind w:left="76"/>
            </w:pPr>
            <w:r>
              <w:t xml:space="preserve">The number of Access Guide views has increased every year over the past 3 years (7311 in 2015) thanks to increased communications.  </w:t>
            </w:r>
            <w:r w:rsidR="0016341A">
              <w:t>The top guides were Harrow Association for the Disabled, Harrow on the Hill Station, Harrow Arts Centre, Harrow Children’s Centres and Harrow Leisure Centre.</w:t>
            </w:r>
          </w:p>
        </w:tc>
      </w:tr>
      <w:tr w:rsidR="009A6FE7" w:rsidRPr="009A6FE7" w14:paraId="59697CAD" w14:textId="77777777" w:rsidTr="009A6FE7">
        <w:tc>
          <w:tcPr>
            <w:tcW w:w="5245" w:type="dxa"/>
            <w:tcBorders>
              <w:top w:val="single" w:sz="4" w:space="0" w:color="auto"/>
              <w:left w:val="single" w:sz="4" w:space="0" w:color="auto"/>
              <w:bottom w:val="single" w:sz="4" w:space="0" w:color="auto"/>
              <w:right w:val="single" w:sz="4" w:space="0" w:color="auto"/>
            </w:tcBorders>
            <w:hideMark/>
          </w:tcPr>
          <w:p w14:paraId="17C7E285" w14:textId="14099ADF" w:rsidR="00F659EA" w:rsidRDefault="00F659EA" w:rsidP="00F659EA">
            <w:r>
              <w:t>Narrow the education attainment gap</w:t>
            </w:r>
          </w:p>
          <w:p w14:paraId="2E1764BB" w14:textId="3D87A4BE" w:rsidR="009A6FE7" w:rsidRPr="00F659EA" w:rsidRDefault="00F659EA" w:rsidP="009A6FE7">
            <w:pPr>
              <w:pStyle w:val="ListParagraph"/>
              <w:numPr>
                <w:ilvl w:val="0"/>
                <w:numId w:val="28"/>
              </w:numPr>
            </w:pPr>
            <w:r>
              <w:t xml:space="preserve">The percentage inequality gap in </w:t>
            </w:r>
            <w:r>
              <w:lastRenderedPageBreak/>
              <w:t>achievement across all the Early Years Learning Goals (EYFS)</w:t>
            </w: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5280138D" w14:textId="0A5A9821" w:rsidR="009A6FE7" w:rsidRPr="00F659EA" w:rsidRDefault="00F659EA" w:rsidP="009A6FE7">
            <w:pPr>
              <w:pStyle w:val="ListParagraph"/>
              <w:ind w:left="76"/>
            </w:pPr>
            <w:r>
              <w:lastRenderedPageBreak/>
              <w:t>24%</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167AFC37" w14:textId="508ADBE4" w:rsidR="009A6FE7" w:rsidRPr="00F659EA" w:rsidRDefault="00F659EA" w:rsidP="009A6FE7">
            <w:pPr>
              <w:pStyle w:val="ListParagraph"/>
              <w:ind w:left="76"/>
            </w:pPr>
            <w:r>
              <w:t>31%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2A845A" w14:textId="7A22929D" w:rsidR="009A6FE7" w:rsidRPr="00F659EA" w:rsidRDefault="00F659EA" w:rsidP="009A6FE7">
            <w:pPr>
              <w:pStyle w:val="ListParagraph"/>
              <w:ind w:left="76"/>
              <w:rPr>
                <w:b/>
                <w:bCs/>
              </w:rPr>
            </w:pPr>
            <w:r w:rsidRPr="00F659EA">
              <w:rPr>
                <w:b/>
                <w:bCs/>
                <w:color w:val="FF0000"/>
              </w:rPr>
              <w:t>HR</w:t>
            </w:r>
          </w:p>
        </w:tc>
        <w:tc>
          <w:tcPr>
            <w:tcW w:w="6093" w:type="dxa"/>
            <w:tcBorders>
              <w:top w:val="single" w:sz="4" w:space="0" w:color="auto"/>
              <w:left w:val="single" w:sz="4" w:space="0" w:color="auto"/>
              <w:bottom w:val="single" w:sz="4" w:space="0" w:color="auto"/>
              <w:right w:val="single" w:sz="4" w:space="0" w:color="auto"/>
            </w:tcBorders>
            <w:hideMark/>
          </w:tcPr>
          <w:p w14:paraId="05243748" w14:textId="3DBAF2AB" w:rsidR="009A6FE7" w:rsidRPr="00F659EA" w:rsidRDefault="00F659EA" w:rsidP="009A6FE7">
            <w:pPr>
              <w:pStyle w:val="ListParagraph"/>
              <w:ind w:left="76"/>
            </w:pPr>
            <w:r>
              <w:t>There has been no change in this indicator</w:t>
            </w:r>
          </w:p>
        </w:tc>
      </w:tr>
      <w:tr w:rsidR="009A6FE7" w:rsidRPr="009A6FE7" w14:paraId="3224A744" w14:textId="77777777" w:rsidTr="0028518D">
        <w:tc>
          <w:tcPr>
            <w:tcW w:w="5245" w:type="dxa"/>
            <w:tcBorders>
              <w:top w:val="single" w:sz="4" w:space="0" w:color="auto"/>
              <w:left w:val="single" w:sz="4" w:space="0" w:color="auto"/>
              <w:bottom w:val="single" w:sz="4" w:space="0" w:color="auto"/>
              <w:right w:val="single" w:sz="4" w:space="0" w:color="auto"/>
            </w:tcBorders>
            <w:hideMark/>
          </w:tcPr>
          <w:p w14:paraId="3EE0E98A" w14:textId="77777777" w:rsidR="009A6FE7" w:rsidRPr="0028518D" w:rsidRDefault="009A6FE7" w:rsidP="009A6FE7">
            <w:pPr>
              <w:pStyle w:val="ListParagraph"/>
              <w:ind w:left="76"/>
            </w:pPr>
            <w:r w:rsidRPr="0028518D">
              <w:lastRenderedPageBreak/>
              <w:t>Adult Learning</w:t>
            </w:r>
          </w:p>
          <w:p w14:paraId="556C342A" w14:textId="77777777" w:rsidR="009A6FE7" w:rsidRPr="0028518D" w:rsidRDefault="009A6FE7" w:rsidP="009A6FE7">
            <w:pPr>
              <w:pStyle w:val="ListParagraph"/>
              <w:ind w:left="76"/>
            </w:pPr>
            <w:r w:rsidRPr="0028518D">
              <w:t>Development, delivery and evaluation of community learning programmes to support recovery from mental health problems</w:t>
            </w:r>
          </w:p>
          <w:p w14:paraId="331A11B7" w14:textId="77777777" w:rsidR="009A6FE7" w:rsidRPr="0028518D" w:rsidRDefault="009A6FE7" w:rsidP="009A6FE7">
            <w:pPr>
              <w:pStyle w:val="ListParagraph"/>
              <w:numPr>
                <w:ilvl w:val="0"/>
                <w:numId w:val="29"/>
              </w:numPr>
            </w:pPr>
            <w:r w:rsidRPr="0028518D">
              <w:t>KPI - % of adults in contact with secondary mental health services in paid employment</w:t>
            </w:r>
          </w:p>
        </w:tc>
        <w:tc>
          <w:tcPr>
            <w:tcW w:w="1274" w:type="dxa"/>
            <w:tcBorders>
              <w:top w:val="single" w:sz="4" w:space="0" w:color="auto"/>
              <w:left w:val="single" w:sz="4" w:space="0" w:color="auto"/>
              <w:bottom w:val="single" w:sz="4" w:space="0" w:color="auto"/>
              <w:right w:val="single" w:sz="4" w:space="0" w:color="auto"/>
            </w:tcBorders>
            <w:noWrap/>
            <w:vAlign w:val="center"/>
          </w:tcPr>
          <w:p w14:paraId="0A2666E3" w14:textId="77777777" w:rsidR="009A6FE7" w:rsidRPr="0028518D" w:rsidRDefault="009A6FE7" w:rsidP="009A6FE7">
            <w:pPr>
              <w:pStyle w:val="ListParagraph"/>
              <w:ind w:left="76"/>
            </w:pPr>
          </w:p>
          <w:p w14:paraId="7E45B7ED" w14:textId="07396CD4" w:rsidR="009A6FE7" w:rsidRPr="0028518D" w:rsidRDefault="0028518D" w:rsidP="009A6FE7">
            <w:pPr>
              <w:pStyle w:val="ListParagraph"/>
              <w:ind w:left="76"/>
            </w:pPr>
            <w:r>
              <w:t>7</w:t>
            </w:r>
            <w:r w:rsidR="009A6FE7" w:rsidRPr="0028518D">
              <w:t>%</w:t>
            </w:r>
          </w:p>
        </w:tc>
        <w:tc>
          <w:tcPr>
            <w:tcW w:w="1278" w:type="dxa"/>
            <w:tcBorders>
              <w:top w:val="single" w:sz="4" w:space="0" w:color="auto"/>
              <w:left w:val="single" w:sz="4" w:space="0" w:color="auto"/>
              <w:bottom w:val="single" w:sz="4" w:space="0" w:color="auto"/>
              <w:right w:val="single" w:sz="4" w:space="0" w:color="auto"/>
            </w:tcBorders>
            <w:noWrap/>
            <w:vAlign w:val="center"/>
          </w:tcPr>
          <w:p w14:paraId="53ADF868" w14:textId="77777777" w:rsidR="009A6FE7" w:rsidRPr="0028518D" w:rsidRDefault="009A6FE7" w:rsidP="009A6FE7">
            <w:pPr>
              <w:pStyle w:val="ListParagraph"/>
              <w:ind w:left="76"/>
            </w:pPr>
          </w:p>
          <w:p w14:paraId="541F8A9E" w14:textId="385DADB8" w:rsidR="009A6FE7" w:rsidRPr="0028518D" w:rsidRDefault="0028518D" w:rsidP="009A6FE7">
            <w:pPr>
              <w:pStyle w:val="ListParagraph"/>
              <w:ind w:left="76"/>
            </w:pPr>
            <w:r>
              <w:t>8.3</w:t>
            </w:r>
            <w:r w:rsidR="009A6FE7" w:rsidRPr="0028518D">
              <w:t>%</w:t>
            </w:r>
          </w:p>
        </w:tc>
        <w:tc>
          <w:tcPr>
            <w:tcW w:w="1275" w:type="dxa"/>
            <w:tcBorders>
              <w:top w:val="single" w:sz="4" w:space="0" w:color="auto"/>
              <w:left w:val="single" w:sz="4" w:space="0" w:color="auto"/>
              <w:bottom w:val="single" w:sz="4" w:space="0" w:color="auto"/>
              <w:right w:val="single" w:sz="4" w:space="0" w:color="auto"/>
            </w:tcBorders>
            <w:vAlign w:val="center"/>
          </w:tcPr>
          <w:p w14:paraId="5915AB42" w14:textId="77777777" w:rsidR="009A6FE7" w:rsidRPr="0028518D" w:rsidRDefault="009A6FE7" w:rsidP="009A6FE7">
            <w:pPr>
              <w:pStyle w:val="ListParagraph"/>
              <w:ind w:left="76"/>
              <w:rPr>
                <w:b/>
                <w:bCs/>
              </w:rPr>
            </w:pPr>
          </w:p>
          <w:p w14:paraId="2F57F757" w14:textId="77777777" w:rsidR="009A6FE7" w:rsidRPr="0028518D" w:rsidRDefault="009A6FE7" w:rsidP="009A6FE7">
            <w:pPr>
              <w:pStyle w:val="ListParagraph"/>
              <w:ind w:left="76"/>
              <w:rPr>
                <w:b/>
                <w:bCs/>
              </w:rPr>
            </w:pPr>
            <w:r w:rsidRPr="0028518D">
              <w:rPr>
                <w:b/>
                <w:bCs/>
                <w:color w:val="00B050"/>
              </w:rPr>
              <w:t>HG</w:t>
            </w:r>
          </w:p>
        </w:tc>
        <w:tc>
          <w:tcPr>
            <w:tcW w:w="6093" w:type="dxa"/>
            <w:tcBorders>
              <w:top w:val="single" w:sz="4" w:space="0" w:color="auto"/>
              <w:left w:val="single" w:sz="4" w:space="0" w:color="auto"/>
              <w:bottom w:val="single" w:sz="4" w:space="0" w:color="auto"/>
              <w:right w:val="single" w:sz="4" w:space="0" w:color="auto"/>
            </w:tcBorders>
          </w:tcPr>
          <w:p w14:paraId="5CB8A1D1" w14:textId="6EB31FE1" w:rsidR="009A6FE7" w:rsidRPr="0028518D" w:rsidRDefault="009A6FE7" w:rsidP="009A6FE7">
            <w:pPr>
              <w:pStyle w:val="ListParagraph"/>
              <w:ind w:left="76"/>
              <w:rPr>
                <w:b/>
              </w:rPr>
            </w:pPr>
          </w:p>
        </w:tc>
      </w:tr>
      <w:tr w:rsidR="00E1613C" w:rsidRPr="009A6FE7" w14:paraId="6694E184" w14:textId="77777777" w:rsidTr="009A6FE7">
        <w:tc>
          <w:tcPr>
            <w:tcW w:w="5245" w:type="dxa"/>
            <w:tcBorders>
              <w:top w:val="single" w:sz="4" w:space="0" w:color="auto"/>
              <w:left w:val="single" w:sz="4" w:space="0" w:color="auto"/>
              <w:bottom w:val="single" w:sz="4" w:space="0" w:color="auto"/>
              <w:right w:val="single" w:sz="4" w:space="0" w:color="auto"/>
            </w:tcBorders>
            <w:hideMark/>
          </w:tcPr>
          <w:p w14:paraId="4331BB76" w14:textId="27FC9A83" w:rsidR="00E1613C" w:rsidRPr="00E1613C" w:rsidRDefault="00E1613C" w:rsidP="009A6FE7">
            <w:pPr>
              <w:pStyle w:val="ListParagraph"/>
              <w:ind w:left="76"/>
            </w:pPr>
            <w:r w:rsidRPr="00E1613C">
              <w:t xml:space="preserve">Adult Social Care </w:t>
            </w:r>
          </w:p>
          <w:p w14:paraId="65F17CF3" w14:textId="77777777" w:rsidR="00E1613C" w:rsidRPr="00E1613C" w:rsidRDefault="00E1613C" w:rsidP="009A6FE7">
            <w:pPr>
              <w:pStyle w:val="ListParagraph"/>
              <w:numPr>
                <w:ilvl w:val="0"/>
                <w:numId w:val="29"/>
              </w:numPr>
            </w:pPr>
            <w:r w:rsidRPr="00E1613C">
              <w:t>KPI – equality of service provision (Adult Social Care)</w:t>
            </w:r>
          </w:p>
        </w:tc>
        <w:tc>
          <w:tcPr>
            <w:tcW w:w="1274" w:type="dxa"/>
            <w:tcBorders>
              <w:top w:val="single" w:sz="4" w:space="0" w:color="auto"/>
              <w:left w:val="single" w:sz="4" w:space="0" w:color="auto"/>
              <w:bottom w:val="single" w:sz="4" w:space="0" w:color="auto"/>
              <w:right w:val="single" w:sz="4" w:space="0" w:color="auto"/>
            </w:tcBorders>
            <w:noWrap/>
            <w:vAlign w:val="center"/>
          </w:tcPr>
          <w:p w14:paraId="7C53635F" w14:textId="77777777" w:rsidR="00E1613C" w:rsidRPr="00E1613C" w:rsidRDefault="00E1613C" w:rsidP="009A6FE7">
            <w:pPr>
              <w:pStyle w:val="ListParagraph"/>
              <w:ind w:left="76"/>
            </w:pPr>
          </w:p>
          <w:p w14:paraId="26181F56" w14:textId="77777777" w:rsidR="00E1613C" w:rsidRPr="00E1613C" w:rsidRDefault="00E1613C" w:rsidP="009A6FE7">
            <w:pPr>
              <w:pStyle w:val="ListParagraph"/>
              <w:ind w:left="76"/>
            </w:pPr>
          </w:p>
          <w:p w14:paraId="0676E868" w14:textId="77777777" w:rsidR="00E1613C" w:rsidRPr="00E1613C" w:rsidRDefault="00E1613C" w:rsidP="009A6FE7">
            <w:pPr>
              <w:pStyle w:val="ListParagraph"/>
              <w:ind w:left="76"/>
            </w:pPr>
            <w:r w:rsidRPr="00E1613C">
              <w:t>0.9-1.1%</w:t>
            </w:r>
          </w:p>
        </w:tc>
        <w:tc>
          <w:tcPr>
            <w:tcW w:w="1278" w:type="dxa"/>
            <w:tcBorders>
              <w:top w:val="single" w:sz="4" w:space="0" w:color="auto"/>
              <w:left w:val="single" w:sz="4" w:space="0" w:color="auto"/>
              <w:bottom w:val="single" w:sz="4" w:space="0" w:color="auto"/>
              <w:right w:val="single" w:sz="4" w:space="0" w:color="auto"/>
            </w:tcBorders>
            <w:noWrap/>
            <w:vAlign w:val="center"/>
          </w:tcPr>
          <w:p w14:paraId="1ABEA02C" w14:textId="77777777" w:rsidR="00E1613C" w:rsidRPr="00E1613C" w:rsidRDefault="00E1613C" w:rsidP="009A6FE7">
            <w:pPr>
              <w:pStyle w:val="ListParagraph"/>
              <w:ind w:left="76"/>
            </w:pPr>
          </w:p>
          <w:p w14:paraId="1E1368EA" w14:textId="77777777" w:rsidR="00E1613C" w:rsidRPr="00E1613C" w:rsidRDefault="00E1613C" w:rsidP="009A6FE7">
            <w:pPr>
              <w:pStyle w:val="ListParagraph"/>
              <w:ind w:left="76"/>
            </w:pPr>
          </w:p>
          <w:p w14:paraId="69ACA3EF" w14:textId="4FC642E2" w:rsidR="00E1613C" w:rsidRPr="00E1613C" w:rsidRDefault="00E1613C" w:rsidP="009A6FE7">
            <w:pPr>
              <w:pStyle w:val="ListParagraph"/>
              <w:ind w:left="76"/>
            </w:pPr>
            <w:r>
              <w:t>0.97</w:t>
            </w:r>
            <w:r w:rsidRPr="00E1613C">
              <w:t>%</w:t>
            </w:r>
          </w:p>
        </w:tc>
        <w:tc>
          <w:tcPr>
            <w:tcW w:w="1275" w:type="dxa"/>
            <w:tcBorders>
              <w:top w:val="single" w:sz="4" w:space="0" w:color="auto"/>
              <w:left w:val="single" w:sz="4" w:space="0" w:color="auto"/>
              <w:bottom w:val="single" w:sz="4" w:space="0" w:color="auto"/>
              <w:right w:val="single" w:sz="4" w:space="0" w:color="auto"/>
            </w:tcBorders>
            <w:vAlign w:val="center"/>
          </w:tcPr>
          <w:p w14:paraId="1F19FA3E" w14:textId="77777777" w:rsidR="00E1613C" w:rsidRPr="00E1613C" w:rsidRDefault="00E1613C" w:rsidP="009A6FE7">
            <w:pPr>
              <w:pStyle w:val="ListParagraph"/>
              <w:ind w:left="76"/>
              <w:rPr>
                <w:b/>
              </w:rPr>
            </w:pPr>
          </w:p>
          <w:p w14:paraId="42A1DE03" w14:textId="77777777" w:rsidR="00E1613C" w:rsidRPr="00E1613C" w:rsidRDefault="00E1613C" w:rsidP="009A6FE7">
            <w:pPr>
              <w:pStyle w:val="ListParagraph"/>
              <w:ind w:left="76"/>
              <w:rPr>
                <w:b/>
              </w:rPr>
            </w:pPr>
          </w:p>
          <w:p w14:paraId="56CEE97D" w14:textId="77777777" w:rsidR="00E1613C" w:rsidRPr="00E1613C" w:rsidRDefault="00E1613C" w:rsidP="009A6FE7">
            <w:pPr>
              <w:pStyle w:val="ListParagraph"/>
              <w:ind w:left="76"/>
              <w:rPr>
                <w:b/>
              </w:rPr>
            </w:pPr>
            <w:r w:rsidRPr="00E1613C">
              <w:rPr>
                <w:b/>
                <w:color w:val="00B050"/>
              </w:rPr>
              <w:t>G</w:t>
            </w:r>
          </w:p>
        </w:tc>
        <w:tc>
          <w:tcPr>
            <w:tcW w:w="6093" w:type="dxa"/>
            <w:tcBorders>
              <w:top w:val="single" w:sz="4" w:space="0" w:color="auto"/>
              <w:left w:val="single" w:sz="4" w:space="0" w:color="auto"/>
              <w:bottom w:val="single" w:sz="4" w:space="0" w:color="auto"/>
              <w:right w:val="single" w:sz="4" w:space="0" w:color="auto"/>
            </w:tcBorders>
          </w:tcPr>
          <w:p w14:paraId="5AE0366D" w14:textId="4CAC76ED" w:rsidR="00E1613C" w:rsidRPr="00E1613C" w:rsidRDefault="00E1613C" w:rsidP="009A6FE7">
            <w:pPr>
              <w:pStyle w:val="ListParagraph"/>
              <w:ind w:left="76"/>
            </w:pPr>
            <w:r>
              <w:t>There has been no change in this indicator</w:t>
            </w:r>
          </w:p>
        </w:tc>
      </w:tr>
      <w:tr w:rsidR="00E1613C" w:rsidRPr="009A6FE7" w14:paraId="249C6483" w14:textId="77777777" w:rsidTr="009A6FE7">
        <w:trPr>
          <w:trHeight w:val="525"/>
        </w:trPr>
        <w:tc>
          <w:tcPr>
            <w:tcW w:w="15165" w:type="dxa"/>
            <w:gridSpan w:val="5"/>
            <w:tcBorders>
              <w:top w:val="single" w:sz="4" w:space="0" w:color="auto"/>
              <w:left w:val="single" w:sz="4" w:space="0" w:color="auto"/>
              <w:bottom w:val="single" w:sz="4" w:space="0" w:color="auto"/>
              <w:right w:val="single" w:sz="4" w:space="0" w:color="auto"/>
            </w:tcBorders>
            <w:shd w:val="clear" w:color="auto" w:fill="CCC0DA"/>
            <w:vAlign w:val="center"/>
            <w:hideMark/>
          </w:tcPr>
          <w:p w14:paraId="789C70B2" w14:textId="77777777" w:rsidR="00E1613C" w:rsidRPr="00E1613C" w:rsidRDefault="00E1613C" w:rsidP="009A6FE7">
            <w:pPr>
              <w:pStyle w:val="ListParagraph"/>
              <w:ind w:left="76"/>
              <w:rPr>
                <w:b/>
              </w:rPr>
            </w:pPr>
            <w:r w:rsidRPr="00E1613C">
              <w:rPr>
                <w:b/>
              </w:rPr>
              <w:t>Objective 3: Promote and celebrate the diversity of our borough and foster community cohesion</w:t>
            </w:r>
          </w:p>
        </w:tc>
      </w:tr>
      <w:tr w:rsidR="00E1613C" w:rsidRPr="009A6FE7" w14:paraId="595F68F8" w14:textId="77777777" w:rsidTr="00E1613C">
        <w:tc>
          <w:tcPr>
            <w:tcW w:w="5245" w:type="dxa"/>
            <w:tcBorders>
              <w:top w:val="single" w:sz="4" w:space="0" w:color="auto"/>
              <w:left w:val="single" w:sz="4" w:space="0" w:color="auto"/>
              <w:bottom w:val="single" w:sz="4" w:space="0" w:color="auto"/>
              <w:right w:val="single" w:sz="4" w:space="0" w:color="auto"/>
            </w:tcBorders>
            <w:hideMark/>
          </w:tcPr>
          <w:p w14:paraId="6EFA86A3" w14:textId="10099E39" w:rsidR="00E1613C" w:rsidRPr="00E1613C" w:rsidRDefault="00E1613C" w:rsidP="00E1613C">
            <w:r w:rsidRPr="00E1613C">
              <w:t xml:space="preserve">Work in partnership with partners, stakeholders and the VCS to organise, deliver and celebrate </w:t>
            </w:r>
            <w:r>
              <w:t>key diversity</w:t>
            </w:r>
            <w:r w:rsidRPr="00E1613C">
              <w:t xml:space="preserve"> events within the borough</w:t>
            </w:r>
          </w:p>
          <w:p w14:paraId="1C0C12F4" w14:textId="71A2F567" w:rsidR="00E1613C" w:rsidRPr="00E1613C" w:rsidRDefault="00E1613C" w:rsidP="00E1613C">
            <w:pPr>
              <w:pStyle w:val="ListParagraph"/>
              <w:numPr>
                <w:ilvl w:val="0"/>
                <w:numId w:val="29"/>
              </w:numPr>
            </w:pPr>
            <w:r w:rsidRPr="00E1613C">
              <w:t xml:space="preserve">KPI - % of residents who agree that </w:t>
            </w:r>
            <w:r>
              <w:t xml:space="preserve">my local area is a place where </w:t>
            </w:r>
            <w:r w:rsidRPr="00E1613C">
              <w:rPr>
                <w:i/>
              </w:rPr>
              <w:t>people from different</w:t>
            </w:r>
            <w:r>
              <w:rPr>
                <w:i/>
              </w:rPr>
              <w:t xml:space="preserve"> ethnic </w:t>
            </w:r>
            <w:r w:rsidRPr="00E1613C">
              <w:rPr>
                <w:i/>
              </w:rPr>
              <w:t xml:space="preserve">backgrounds get </w:t>
            </w:r>
            <w:r>
              <w:t>on well together.</w:t>
            </w:r>
          </w:p>
        </w:tc>
        <w:tc>
          <w:tcPr>
            <w:tcW w:w="1274" w:type="dxa"/>
            <w:tcBorders>
              <w:top w:val="single" w:sz="4" w:space="0" w:color="auto"/>
              <w:left w:val="single" w:sz="4" w:space="0" w:color="auto"/>
              <w:bottom w:val="single" w:sz="4" w:space="0" w:color="auto"/>
              <w:right w:val="single" w:sz="4" w:space="0" w:color="auto"/>
            </w:tcBorders>
            <w:noWrap/>
          </w:tcPr>
          <w:p w14:paraId="163FD84F" w14:textId="77777777" w:rsidR="00E1613C" w:rsidRPr="00E1613C" w:rsidRDefault="00E1613C" w:rsidP="00E1613C">
            <w:pPr>
              <w:pStyle w:val="ListParagraph"/>
              <w:ind w:left="76"/>
            </w:pPr>
          </w:p>
          <w:p w14:paraId="2A5A14FC" w14:textId="77777777" w:rsidR="00E1613C" w:rsidRPr="00E1613C" w:rsidRDefault="00E1613C" w:rsidP="00E1613C">
            <w:pPr>
              <w:pStyle w:val="ListParagraph"/>
              <w:ind w:left="76"/>
            </w:pPr>
          </w:p>
          <w:p w14:paraId="5CE3C98F" w14:textId="77777777" w:rsidR="00E1613C" w:rsidRPr="00E1613C" w:rsidRDefault="00E1613C" w:rsidP="00E1613C">
            <w:pPr>
              <w:pStyle w:val="ListParagraph"/>
              <w:ind w:left="76"/>
            </w:pPr>
          </w:p>
          <w:p w14:paraId="29B84DC4" w14:textId="77777777" w:rsidR="00E1613C" w:rsidRPr="00E1613C" w:rsidRDefault="00E1613C" w:rsidP="00E1613C">
            <w:pPr>
              <w:pStyle w:val="ListParagraph"/>
              <w:ind w:left="76"/>
            </w:pPr>
          </w:p>
          <w:p w14:paraId="1E8C1160" w14:textId="77777777" w:rsidR="00E1613C" w:rsidRPr="00E1613C" w:rsidRDefault="00E1613C" w:rsidP="00E1613C">
            <w:pPr>
              <w:pStyle w:val="ListParagraph"/>
              <w:ind w:left="76"/>
            </w:pPr>
            <w:r w:rsidRPr="00E1613C">
              <w:t>70%</w:t>
            </w:r>
          </w:p>
          <w:p w14:paraId="7E835A0D" w14:textId="77777777" w:rsidR="00E1613C" w:rsidRPr="00E1613C" w:rsidRDefault="00E1613C" w:rsidP="00E1613C">
            <w:pPr>
              <w:pStyle w:val="ListParagraph"/>
              <w:ind w:left="76"/>
            </w:pPr>
          </w:p>
          <w:p w14:paraId="10229E2F" w14:textId="77777777" w:rsidR="00E1613C" w:rsidRPr="00E1613C" w:rsidRDefault="00E1613C" w:rsidP="00E1613C">
            <w:pPr>
              <w:pStyle w:val="ListParagraph"/>
              <w:ind w:left="76"/>
            </w:pPr>
          </w:p>
        </w:tc>
        <w:tc>
          <w:tcPr>
            <w:tcW w:w="1278" w:type="dxa"/>
            <w:tcBorders>
              <w:top w:val="single" w:sz="4" w:space="0" w:color="auto"/>
              <w:left w:val="single" w:sz="4" w:space="0" w:color="auto"/>
              <w:bottom w:val="single" w:sz="4" w:space="0" w:color="auto"/>
              <w:right w:val="single" w:sz="4" w:space="0" w:color="auto"/>
            </w:tcBorders>
            <w:noWrap/>
          </w:tcPr>
          <w:p w14:paraId="1B1B357D" w14:textId="77777777" w:rsidR="00E1613C" w:rsidRPr="00E1613C" w:rsidRDefault="00E1613C" w:rsidP="00E1613C">
            <w:pPr>
              <w:pStyle w:val="ListParagraph"/>
              <w:ind w:left="76"/>
            </w:pPr>
          </w:p>
          <w:p w14:paraId="37D8E841" w14:textId="77777777" w:rsidR="00E1613C" w:rsidRPr="00E1613C" w:rsidRDefault="00E1613C" w:rsidP="00E1613C"/>
          <w:p w14:paraId="1752E214" w14:textId="77777777" w:rsidR="00E1613C" w:rsidRPr="00E1613C" w:rsidRDefault="00E1613C" w:rsidP="00E1613C">
            <w:pPr>
              <w:pStyle w:val="ListParagraph"/>
              <w:ind w:left="76"/>
            </w:pPr>
          </w:p>
          <w:p w14:paraId="61B7D249" w14:textId="77777777" w:rsidR="00E1613C" w:rsidRPr="00E1613C" w:rsidRDefault="00E1613C" w:rsidP="00E1613C">
            <w:pPr>
              <w:pStyle w:val="ListParagraph"/>
              <w:ind w:left="76"/>
            </w:pPr>
          </w:p>
          <w:p w14:paraId="640B1D20" w14:textId="3AF04A97" w:rsidR="00E1613C" w:rsidRPr="00E1613C" w:rsidRDefault="00E1613C" w:rsidP="00E1613C">
            <w:pPr>
              <w:pStyle w:val="ListParagraph"/>
              <w:ind w:left="76"/>
            </w:pPr>
            <w:r>
              <w:t>77</w:t>
            </w:r>
            <w:r w:rsidRPr="00E1613C">
              <w:t>%</w:t>
            </w:r>
          </w:p>
        </w:tc>
        <w:tc>
          <w:tcPr>
            <w:tcW w:w="1275" w:type="dxa"/>
            <w:tcBorders>
              <w:top w:val="single" w:sz="4" w:space="0" w:color="auto"/>
              <w:left w:val="single" w:sz="4" w:space="0" w:color="auto"/>
              <w:bottom w:val="single" w:sz="4" w:space="0" w:color="auto"/>
              <w:right w:val="single" w:sz="4" w:space="0" w:color="auto"/>
            </w:tcBorders>
          </w:tcPr>
          <w:p w14:paraId="19692FF7" w14:textId="77777777" w:rsidR="00E1613C" w:rsidRPr="00E1613C" w:rsidRDefault="00E1613C" w:rsidP="00E1613C">
            <w:pPr>
              <w:pStyle w:val="ListParagraph"/>
              <w:ind w:left="76"/>
              <w:rPr>
                <w:b/>
              </w:rPr>
            </w:pPr>
          </w:p>
          <w:p w14:paraId="0C012920" w14:textId="77777777" w:rsidR="00E1613C" w:rsidRPr="00E1613C" w:rsidRDefault="00E1613C" w:rsidP="00E1613C">
            <w:pPr>
              <w:rPr>
                <w:b/>
              </w:rPr>
            </w:pPr>
          </w:p>
          <w:p w14:paraId="2393600F" w14:textId="77777777" w:rsidR="00E1613C" w:rsidRPr="00E1613C" w:rsidRDefault="00E1613C" w:rsidP="00E1613C">
            <w:pPr>
              <w:pStyle w:val="ListParagraph"/>
              <w:ind w:left="76"/>
              <w:rPr>
                <w:b/>
              </w:rPr>
            </w:pPr>
          </w:p>
          <w:p w14:paraId="67D8D219" w14:textId="77777777" w:rsidR="00E1613C" w:rsidRPr="00E1613C" w:rsidRDefault="00E1613C" w:rsidP="00E1613C">
            <w:pPr>
              <w:pStyle w:val="ListParagraph"/>
              <w:ind w:left="76"/>
              <w:rPr>
                <w:b/>
              </w:rPr>
            </w:pPr>
          </w:p>
          <w:p w14:paraId="04010132" w14:textId="30378EFF" w:rsidR="00E1613C" w:rsidRPr="00E1613C" w:rsidRDefault="008B561E" w:rsidP="00E1613C">
            <w:pPr>
              <w:pStyle w:val="ListParagraph"/>
              <w:ind w:left="76"/>
              <w:rPr>
                <w:b/>
                <w:color w:val="00B050"/>
              </w:rPr>
            </w:pPr>
            <w:r>
              <w:rPr>
                <w:b/>
                <w:color w:val="00B050"/>
              </w:rPr>
              <w:t>G</w:t>
            </w:r>
          </w:p>
          <w:p w14:paraId="35979529" w14:textId="77777777" w:rsidR="00E1613C" w:rsidRPr="00E1613C" w:rsidRDefault="00E1613C" w:rsidP="00E1613C">
            <w:pPr>
              <w:pStyle w:val="ListParagraph"/>
              <w:ind w:left="76"/>
              <w:rPr>
                <w:b/>
              </w:rPr>
            </w:pPr>
          </w:p>
          <w:p w14:paraId="13421000" w14:textId="77777777" w:rsidR="00E1613C" w:rsidRPr="00E1613C" w:rsidRDefault="00E1613C" w:rsidP="00E1613C">
            <w:pPr>
              <w:pStyle w:val="ListParagraph"/>
              <w:ind w:left="76"/>
              <w:rPr>
                <w:b/>
              </w:rPr>
            </w:pPr>
          </w:p>
          <w:p w14:paraId="686C9C20" w14:textId="77777777" w:rsidR="00E1613C" w:rsidRPr="00E1613C" w:rsidRDefault="00E1613C" w:rsidP="00E1613C">
            <w:pPr>
              <w:pStyle w:val="ListParagraph"/>
              <w:ind w:left="76"/>
              <w:rPr>
                <w:b/>
              </w:rPr>
            </w:pPr>
          </w:p>
        </w:tc>
        <w:tc>
          <w:tcPr>
            <w:tcW w:w="6093" w:type="dxa"/>
            <w:tcBorders>
              <w:top w:val="single" w:sz="4" w:space="0" w:color="auto"/>
              <w:left w:val="single" w:sz="4" w:space="0" w:color="auto"/>
              <w:bottom w:val="single" w:sz="4" w:space="0" w:color="auto"/>
              <w:right w:val="single" w:sz="4" w:space="0" w:color="auto"/>
            </w:tcBorders>
          </w:tcPr>
          <w:p w14:paraId="5E75A580" w14:textId="77777777" w:rsidR="008B561E" w:rsidRDefault="00E1613C" w:rsidP="00E1613C">
            <w:pPr>
              <w:ind w:left="360"/>
            </w:pPr>
            <w:r>
              <w:t>Harrow Residents Survey July 2017 shows community cohesion remains positive in Harrow despite</w:t>
            </w:r>
            <w:r w:rsidR="00634DE5">
              <w:t xml:space="preserve"> various terrorist attacks that year. </w:t>
            </w:r>
          </w:p>
          <w:p w14:paraId="5BB6DB41" w14:textId="77777777" w:rsidR="008B561E" w:rsidRDefault="008B561E" w:rsidP="00E1613C">
            <w:pPr>
              <w:ind w:left="360"/>
            </w:pPr>
          </w:p>
          <w:p w14:paraId="1A62BFA9" w14:textId="4FF36D04" w:rsidR="00E1613C" w:rsidRPr="00E1613C" w:rsidRDefault="008B561E" w:rsidP="008B561E">
            <w:pPr>
              <w:ind w:left="360"/>
            </w:pPr>
            <w:r>
              <w:t>Nationally 81% of people think their local area is a place where people from different ethnic backgrounds get on well together. But given the higher levels of diversity in Harrow compared with other local authorities a score of 77% is good.</w:t>
            </w:r>
            <w:r w:rsidR="00E1613C" w:rsidRPr="00E1613C">
              <w:rPr>
                <w:vanish/>
              </w:rPr>
              <w:t xml:space="preserve">Results by main ethinic groups are not published </w:t>
            </w:r>
          </w:p>
        </w:tc>
      </w:tr>
    </w:tbl>
    <w:p w14:paraId="7417CCBC" w14:textId="77777777" w:rsidR="00A55C91" w:rsidRDefault="00A55C91"/>
    <w:p w14:paraId="501648F3" w14:textId="77777777" w:rsidR="00A55C91" w:rsidRDefault="00A55C91"/>
    <w:p w14:paraId="01F9677A" w14:textId="77777777" w:rsidR="00A55C91" w:rsidRDefault="00A55C91"/>
    <w:p w14:paraId="58035496" w14:textId="77777777" w:rsidR="00A55C91" w:rsidRDefault="00A55C91"/>
    <w:p w14:paraId="12D0F136" w14:textId="77777777" w:rsidR="00A55C91" w:rsidRDefault="00A55C91"/>
    <w:p w14:paraId="74C2729D" w14:textId="77777777" w:rsidR="00A55C91" w:rsidRPr="007B7BAC" w:rsidRDefault="00A55C91"/>
    <w:sectPr w:rsidR="00A55C91" w:rsidRPr="007B7BAC" w:rsidSect="00305042">
      <w:headerReference w:type="default" r:id="rId14"/>
      <w:footerReference w:type="default" r:id="rId15"/>
      <w:pgSz w:w="16838" w:h="11906" w:orient="landscape"/>
      <w:pgMar w:top="1440" w:right="1080" w:bottom="1440" w:left="1080" w:header="708" w:footer="708" w:gutter="0"/>
      <w:pgBorders w:display="firstPage" w:offsetFrom="page">
        <w:top w:val="single" w:sz="4" w:space="24" w:color="3E007A" w:shadow="1"/>
        <w:left w:val="single" w:sz="4" w:space="24" w:color="3E007A" w:shadow="1"/>
        <w:bottom w:val="single" w:sz="4" w:space="24" w:color="3E007A" w:shadow="1"/>
        <w:right w:val="single" w:sz="4" w:space="24" w:color="3E007A"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CD44" w14:textId="77777777" w:rsidR="009837E7" w:rsidRDefault="009837E7" w:rsidP="001309BD">
      <w:r>
        <w:separator/>
      </w:r>
    </w:p>
  </w:endnote>
  <w:endnote w:type="continuationSeparator" w:id="0">
    <w:p w14:paraId="6D452FE7" w14:textId="77777777" w:rsidR="009837E7" w:rsidRDefault="009837E7" w:rsidP="0013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639548"/>
      <w:docPartObj>
        <w:docPartGallery w:val="Page Numbers (Bottom of Page)"/>
        <w:docPartUnique/>
      </w:docPartObj>
    </w:sdtPr>
    <w:sdtEndPr>
      <w:rPr>
        <w:noProof/>
      </w:rPr>
    </w:sdtEndPr>
    <w:sdtContent>
      <w:p w14:paraId="54582F00" w14:textId="3F679E76" w:rsidR="009837E7" w:rsidRDefault="009837E7">
        <w:pPr>
          <w:pStyle w:val="Footer"/>
          <w:jc w:val="center"/>
        </w:pPr>
        <w:r>
          <w:fldChar w:fldCharType="begin"/>
        </w:r>
        <w:r>
          <w:instrText xml:space="preserve"> PAGE   \* MERGEFORMAT </w:instrText>
        </w:r>
        <w:r>
          <w:fldChar w:fldCharType="separate"/>
        </w:r>
        <w:r w:rsidR="004819FD">
          <w:rPr>
            <w:noProof/>
          </w:rPr>
          <w:t>25</w:t>
        </w:r>
        <w:r>
          <w:rPr>
            <w:noProof/>
          </w:rPr>
          <w:fldChar w:fldCharType="end"/>
        </w:r>
      </w:p>
    </w:sdtContent>
  </w:sdt>
  <w:p w14:paraId="784DDC9A" w14:textId="77777777" w:rsidR="009837E7" w:rsidRDefault="0098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AD6C" w14:textId="77777777" w:rsidR="009837E7" w:rsidRDefault="009837E7" w:rsidP="001309BD">
      <w:r>
        <w:separator/>
      </w:r>
    </w:p>
  </w:footnote>
  <w:footnote w:type="continuationSeparator" w:id="0">
    <w:p w14:paraId="5F59B80B" w14:textId="77777777" w:rsidR="009837E7" w:rsidRDefault="009837E7" w:rsidP="001309BD">
      <w:r>
        <w:continuationSeparator/>
      </w:r>
    </w:p>
  </w:footnote>
  <w:footnote w:id="1">
    <w:p w14:paraId="38CF4482" w14:textId="77777777" w:rsidR="009837E7" w:rsidRDefault="009837E7" w:rsidP="001309BD">
      <w:pPr>
        <w:pStyle w:val="FootnoteText"/>
        <w:spacing w:after="0" w:line="240" w:lineRule="auto"/>
      </w:pPr>
      <w:r>
        <w:rPr>
          <w:rStyle w:val="FootnoteReference"/>
        </w:rPr>
        <w:footnoteRef/>
      </w:r>
      <w:r>
        <w:t xml:space="preserve"> A</w:t>
      </w:r>
      <w:r w:rsidRPr="007E6AE4">
        <w:rPr>
          <w:rFonts w:eastAsia="Batang"/>
          <w:lang w:val="en-US" w:eastAsia="ko-KR"/>
        </w:rPr>
        <w:t>t 30</w:t>
      </w:r>
      <w:r w:rsidRPr="007E6AE4">
        <w:rPr>
          <w:rFonts w:eastAsia="Batang"/>
          <w:vertAlign w:val="superscript"/>
          <w:lang w:val="en-US" w:eastAsia="ko-KR"/>
        </w:rPr>
        <w:t>th</w:t>
      </w:r>
      <w:r w:rsidRPr="007E6AE4">
        <w:rPr>
          <w:rFonts w:eastAsia="Batang"/>
          <w:lang w:val="en-US" w:eastAsia="ko-KR"/>
        </w:rPr>
        <w:t xml:space="preserve"> June 201</w:t>
      </w:r>
      <w:r>
        <w:rPr>
          <w:rFonts w:eastAsia="Batang"/>
          <w:lang w:val="en-US" w:eastAsia="ko-KR"/>
        </w:rPr>
        <w:t>6, Office for National Statistics (ONS) 2016 Mid-Year Estimates</w:t>
      </w:r>
    </w:p>
  </w:footnote>
  <w:footnote w:id="2">
    <w:p w14:paraId="0283F1B1" w14:textId="77777777" w:rsidR="009837E7" w:rsidRPr="00550B16" w:rsidRDefault="009837E7" w:rsidP="001309BD">
      <w:pPr>
        <w:pStyle w:val="FootnoteText"/>
        <w:spacing w:after="0" w:line="240" w:lineRule="auto"/>
        <w:rPr>
          <w:rFonts w:ascii="Arial" w:hAnsi="Arial" w:cs="Arial"/>
          <w:sz w:val="18"/>
          <w:szCs w:val="18"/>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ONS</w:t>
      </w:r>
      <w:r>
        <w:rPr>
          <w:rFonts w:ascii="Arial" w:hAnsi="Arial" w:cs="Arial"/>
          <w:sz w:val="18"/>
          <w:szCs w:val="18"/>
        </w:rPr>
        <w:t xml:space="preserve">, </w:t>
      </w:r>
      <w:r w:rsidRPr="00550B16">
        <w:rPr>
          <w:rFonts w:ascii="Arial" w:hAnsi="Arial" w:cs="Arial"/>
          <w:sz w:val="18"/>
          <w:szCs w:val="18"/>
        </w:rPr>
        <w:t>201</w:t>
      </w:r>
      <w:r>
        <w:rPr>
          <w:rFonts w:ascii="Arial" w:hAnsi="Arial" w:cs="Arial"/>
          <w:sz w:val="18"/>
          <w:szCs w:val="18"/>
        </w:rPr>
        <w:t>6</w:t>
      </w:r>
      <w:r w:rsidRPr="00550B16">
        <w:rPr>
          <w:rFonts w:ascii="Arial" w:hAnsi="Arial" w:cs="Arial"/>
          <w:sz w:val="18"/>
          <w:szCs w:val="18"/>
        </w:rPr>
        <w:t xml:space="preserve"> Mid-Year Estimates</w:t>
      </w:r>
    </w:p>
  </w:footnote>
  <w:footnote w:id="3">
    <w:p w14:paraId="1ADBCB33" w14:textId="77777777" w:rsidR="009837E7" w:rsidRPr="00550B16" w:rsidRDefault="009837E7" w:rsidP="001309BD">
      <w:pPr>
        <w:pStyle w:val="NoSpacing"/>
        <w:rPr>
          <w:rFonts w:ascii="Arial" w:hAnsi="Arial" w:cs="Arial"/>
          <w:sz w:val="18"/>
          <w:szCs w:val="18"/>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ONS</w:t>
      </w:r>
      <w:r>
        <w:rPr>
          <w:rFonts w:ascii="Arial" w:hAnsi="Arial" w:cs="Arial"/>
          <w:sz w:val="18"/>
          <w:szCs w:val="18"/>
        </w:rPr>
        <w:t xml:space="preserve">, </w:t>
      </w:r>
      <w:r w:rsidRPr="00550B16">
        <w:rPr>
          <w:rFonts w:ascii="Arial" w:hAnsi="Arial" w:cs="Arial"/>
          <w:sz w:val="18"/>
          <w:szCs w:val="18"/>
        </w:rPr>
        <w:t>201</w:t>
      </w:r>
      <w:r>
        <w:rPr>
          <w:rFonts w:ascii="Arial" w:hAnsi="Arial" w:cs="Arial"/>
          <w:sz w:val="18"/>
          <w:szCs w:val="18"/>
        </w:rPr>
        <w:t>6</w:t>
      </w:r>
      <w:r w:rsidRPr="00550B16">
        <w:rPr>
          <w:rFonts w:ascii="Arial" w:hAnsi="Arial" w:cs="Arial"/>
          <w:sz w:val="18"/>
          <w:szCs w:val="18"/>
        </w:rPr>
        <w:t xml:space="preserve"> Mid-Year Estimates</w:t>
      </w:r>
    </w:p>
  </w:footnote>
  <w:footnote w:id="4">
    <w:p w14:paraId="7D0F2A55" w14:textId="77777777" w:rsidR="009837E7" w:rsidRDefault="009837E7" w:rsidP="001309BD">
      <w:pPr>
        <w:pStyle w:val="FootnoteText"/>
      </w:pPr>
      <w:r>
        <w:rPr>
          <w:rStyle w:val="FootnoteReference"/>
        </w:rPr>
        <w:footnoteRef/>
      </w:r>
      <w:r>
        <w:t xml:space="preserve"> 2017-2032, ONS, 2014 Sub-National Population Projections</w:t>
      </w:r>
    </w:p>
  </w:footnote>
  <w:footnote w:id="5">
    <w:p w14:paraId="4D8BD6C1" w14:textId="77777777" w:rsidR="009837E7" w:rsidRPr="00550B16" w:rsidRDefault="009837E7" w:rsidP="00373AB8">
      <w:pPr>
        <w:pStyle w:val="NoSpacing"/>
        <w:rPr>
          <w:rFonts w:ascii="Arial" w:hAnsi="Arial" w:cs="Arial"/>
          <w:sz w:val="18"/>
          <w:szCs w:val="18"/>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w:t>
      </w:r>
      <w:r>
        <w:rPr>
          <w:rFonts w:ascii="Arial" w:hAnsi="Arial" w:cs="Arial"/>
          <w:sz w:val="18"/>
          <w:szCs w:val="18"/>
        </w:rPr>
        <w:t xml:space="preserve">July 2015 - June 2017, </w:t>
      </w:r>
      <w:r w:rsidRPr="00550B16">
        <w:rPr>
          <w:rFonts w:ascii="Arial" w:hAnsi="Arial" w:cs="Arial"/>
          <w:sz w:val="18"/>
          <w:szCs w:val="18"/>
          <w:lang w:val="en-US"/>
        </w:rPr>
        <w:t>ONS, Annual Population Survey</w:t>
      </w:r>
    </w:p>
  </w:footnote>
  <w:footnote w:id="6">
    <w:p w14:paraId="08BA8694" w14:textId="77777777" w:rsidR="009837E7" w:rsidRPr="00066792" w:rsidRDefault="009837E7" w:rsidP="00373AB8">
      <w:pPr>
        <w:pStyle w:val="NoSpacing"/>
        <w:rPr>
          <w:sz w:val="20"/>
          <w:szCs w:val="20"/>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w:t>
      </w:r>
      <w:proofErr w:type="gramStart"/>
      <w:r>
        <w:rPr>
          <w:rFonts w:ascii="Arial" w:hAnsi="Arial" w:cs="Arial"/>
          <w:sz w:val="18"/>
          <w:szCs w:val="18"/>
        </w:rPr>
        <w:t>May 2017, ONS/DWP.</w:t>
      </w:r>
      <w:proofErr w:type="gramEnd"/>
      <w:r>
        <w:rPr>
          <w:rFonts w:ascii="Arial" w:hAnsi="Arial" w:cs="Arial"/>
          <w:sz w:val="18"/>
          <w:szCs w:val="18"/>
        </w:rPr>
        <w:t xml:space="preserve"> </w:t>
      </w:r>
      <w:r w:rsidRPr="00550B16">
        <w:rPr>
          <w:rFonts w:ascii="Arial" w:hAnsi="Arial" w:cs="Arial"/>
          <w:sz w:val="18"/>
          <w:szCs w:val="18"/>
        </w:rPr>
        <w:t>Rate</w:t>
      </w:r>
      <w:r>
        <w:rPr>
          <w:rFonts w:ascii="Arial" w:hAnsi="Arial" w:cs="Arial"/>
          <w:sz w:val="18"/>
          <w:szCs w:val="18"/>
        </w:rPr>
        <w:t>s</w:t>
      </w:r>
      <w:r w:rsidRPr="00550B16">
        <w:rPr>
          <w:rFonts w:ascii="Arial" w:hAnsi="Arial" w:cs="Arial"/>
          <w:sz w:val="18"/>
          <w:szCs w:val="18"/>
        </w:rPr>
        <w:t xml:space="preserve"> calculated using the ONS 201</w:t>
      </w:r>
      <w:r>
        <w:rPr>
          <w:rFonts w:ascii="Arial" w:hAnsi="Arial" w:cs="Arial"/>
          <w:sz w:val="18"/>
          <w:szCs w:val="18"/>
        </w:rPr>
        <w:t>6</w:t>
      </w:r>
      <w:r w:rsidRPr="00550B16">
        <w:rPr>
          <w:rFonts w:ascii="Arial" w:hAnsi="Arial" w:cs="Arial"/>
          <w:sz w:val="18"/>
          <w:szCs w:val="18"/>
        </w:rPr>
        <w:t xml:space="preserve"> Mid-Year Estimates</w:t>
      </w:r>
      <w:r w:rsidRPr="00066792">
        <w:rPr>
          <w:sz w:val="20"/>
          <w:szCs w:val="20"/>
        </w:rPr>
        <w:t xml:space="preserve"> </w:t>
      </w:r>
    </w:p>
  </w:footnote>
  <w:footnote w:id="7">
    <w:p w14:paraId="60F19933" w14:textId="047B9542" w:rsidR="009837E7" w:rsidRDefault="009837E7">
      <w:pPr>
        <w:pStyle w:val="FootnoteText"/>
      </w:pPr>
      <w:r>
        <w:rPr>
          <w:rStyle w:val="FootnoteReference"/>
        </w:rPr>
        <w:footnoteRef/>
      </w:r>
      <w:r>
        <w:t xml:space="preserve"> ONS Births by mothers’ usual area of residence in the UK 2016</w:t>
      </w:r>
    </w:p>
  </w:footnote>
  <w:footnote w:id="8">
    <w:p w14:paraId="0A2AC106" w14:textId="77777777" w:rsidR="009837E7" w:rsidRPr="00AA0AA5" w:rsidRDefault="009837E7" w:rsidP="001309BD">
      <w:pPr>
        <w:pStyle w:val="NoSpacing"/>
        <w:rPr>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ONS, </w:t>
      </w:r>
      <w:r w:rsidRPr="00550B16">
        <w:rPr>
          <w:rFonts w:ascii="Arial" w:hAnsi="Arial" w:cs="Arial"/>
          <w:sz w:val="18"/>
          <w:szCs w:val="18"/>
          <w:lang w:val="en-US"/>
        </w:rPr>
        <w:t>2011 Census, Table KS209EW</w:t>
      </w:r>
    </w:p>
  </w:footnote>
  <w:footnote w:id="9">
    <w:p w14:paraId="777875E1" w14:textId="77777777" w:rsidR="009837E7" w:rsidRDefault="009837E7" w:rsidP="00C0312D">
      <w:pPr>
        <w:pStyle w:val="FootnoteText"/>
      </w:pPr>
      <w:r>
        <w:rPr>
          <w:rStyle w:val="FootnoteReference"/>
        </w:rPr>
        <w:footnoteRef/>
      </w:r>
      <w:r>
        <w:t xml:space="preserve"> ONS Annual Population Survey, October 2015 to September 2016</w:t>
      </w:r>
    </w:p>
  </w:footnote>
  <w:footnote w:id="10">
    <w:p w14:paraId="6AC2CBBC" w14:textId="77777777" w:rsidR="009837E7" w:rsidRPr="00550B16" w:rsidRDefault="009837E7" w:rsidP="00A60951">
      <w:pPr>
        <w:pStyle w:val="NoSpacing"/>
        <w:rPr>
          <w:rFonts w:ascii="Arial" w:hAnsi="Arial" w:cs="Arial"/>
          <w:sz w:val="18"/>
          <w:szCs w:val="18"/>
          <w:lang w:val="en-US"/>
        </w:rPr>
      </w:pPr>
      <w:r w:rsidRPr="00550B16">
        <w:rPr>
          <w:rStyle w:val="FootnoteReference"/>
          <w:rFonts w:ascii="Arial" w:hAnsi="Arial" w:cs="Arial"/>
          <w:sz w:val="18"/>
          <w:szCs w:val="18"/>
        </w:rPr>
        <w:footnoteRef/>
      </w:r>
      <w:r w:rsidRPr="00550B16">
        <w:rPr>
          <w:rFonts w:ascii="Arial" w:hAnsi="Arial" w:cs="Arial"/>
          <w:sz w:val="18"/>
          <w:szCs w:val="18"/>
        </w:rPr>
        <w:t xml:space="preserve"> </w:t>
      </w:r>
      <w:r w:rsidRPr="00550B16">
        <w:rPr>
          <w:rFonts w:ascii="Arial" w:hAnsi="Arial" w:cs="Arial"/>
          <w:sz w:val="18"/>
          <w:szCs w:val="18"/>
          <w:lang w:val="en-US"/>
        </w:rPr>
        <w:t>ONS, 201</w:t>
      </w:r>
      <w:r>
        <w:rPr>
          <w:rFonts w:ascii="Arial" w:hAnsi="Arial" w:cs="Arial"/>
          <w:sz w:val="18"/>
          <w:szCs w:val="18"/>
          <w:lang w:val="en-US"/>
        </w:rPr>
        <w:t>6</w:t>
      </w:r>
      <w:r w:rsidRPr="00550B16">
        <w:rPr>
          <w:rFonts w:ascii="Arial" w:hAnsi="Arial" w:cs="Arial"/>
          <w:sz w:val="18"/>
          <w:szCs w:val="18"/>
          <w:lang w:val="en-US"/>
        </w:rPr>
        <w:t xml:space="preserve"> Mid-Year Estimates</w:t>
      </w:r>
    </w:p>
  </w:footnote>
  <w:footnote w:id="11">
    <w:p w14:paraId="3574D9E4" w14:textId="77777777" w:rsidR="009837E7" w:rsidRDefault="009837E7" w:rsidP="00F20E5D">
      <w:pPr>
        <w:pStyle w:val="FootnoteText"/>
      </w:pPr>
      <w:r>
        <w:rPr>
          <w:rStyle w:val="FootnoteReference"/>
        </w:rPr>
        <w:footnoteRef/>
      </w:r>
      <w:r>
        <w:t xml:space="preserve"> ONS Claimant Count data</w:t>
      </w:r>
    </w:p>
  </w:footnote>
  <w:footnote w:id="12">
    <w:p w14:paraId="253BA69F" w14:textId="77777777" w:rsidR="009837E7" w:rsidRDefault="009837E7" w:rsidP="001309BD">
      <w:pPr>
        <w:pStyle w:val="FootnoteText"/>
      </w:pPr>
      <w:r>
        <w:rPr>
          <w:rStyle w:val="FootnoteReference"/>
        </w:rPr>
        <w:footnoteRef/>
      </w:r>
      <w:r>
        <w:t xml:space="preserve"> ONS Annual Population Survey, October 2016 to September 2017</w:t>
      </w:r>
    </w:p>
  </w:footnote>
  <w:footnote w:id="13">
    <w:p w14:paraId="7C73F860" w14:textId="77777777" w:rsidR="009837E7" w:rsidRDefault="009837E7" w:rsidP="001309BD">
      <w:pPr>
        <w:pStyle w:val="FootnoteText"/>
        <w:spacing w:after="0" w:line="240" w:lineRule="auto"/>
      </w:pPr>
      <w:r>
        <w:rPr>
          <w:rStyle w:val="FootnoteReference"/>
        </w:rPr>
        <w:footnoteRef/>
      </w:r>
      <w:r>
        <w:t xml:space="preserve"> The employment rate is the number of people in employment expressed as a percentage of all people of that cohort aged 16-64, ONS Annual Population Survey (APS), October 2016 to September 2017. The APS is a sample survey and confidence intervals vary for the different groups.  </w:t>
      </w:r>
    </w:p>
  </w:footnote>
  <w:footnote w:id="14">
    <w:p w14:paraId="3726EEE5" w14:textId="77777777" w:rsidR="009837E7" w:rsidRDefault="009837E7" w:rsidP="00A60951">
      <w:pPr>
        <w:pStyle w:val="FootnoteText"/>
      </w:pPr>
      <w:r>
        <w:rPr>
          <w:rStyle w:val="FootnoteReference"/>
        </w:rPr>
        <w:footnoteRef/>
      </w:r>
      <w:r>
        <w:t xml:space="preserve"> Source: ONS Annual Survey of Hours and Earnings 2017 – Residents and Workplace analyses – using median of full-time workers’ gross pay</w:t>
      </w:r>
    </w:p>
  </w:footnote>
  <w:footnote w:id="15">
    <w:p w14:paraId="6BA7A992" w14:textId="77777777" w:rsidR="009837E7" w:rsidRDefault="009837E7" w:rsidP="00A60951">
      <w:pPr>
        <w:pStyle w:val="FootnoteText"/>
      </w:pPr>
      <w:r>
        <w:rPr>
          <w:rStyle w:val="FootnoteReference"/>
        </w:rPr>
        <w:footnoteRef/>
      </w:r>
      <w:r>
        <w:t xml:space="preserve"> </w:t>
      </w:r>
      <w:proofErr w:type="gramStart"/>
      <w:r>
        <w:t>DFE, 2016 Figures.</w:t>
      </w:r>
      <w:proofErr w:type="gramEnd"/>
      <w:r>
        <w:t xml:space="preserve"> Isles of Scilly excluded, due to very low counts overall</w:t>
      </w:r>
    </w:p>
  </w:footnote>
  <w:footnote w:id="16">
    <w:p w14:paraId="42527823" w14:textId="77777777" w:rsidR="009837E7" w:rsidRDefault="009837E7" w:rsidP="00A60951">
      <w:pPr>
        <w:pStyle w:val="FootnoteText"/>
      </w:pPr>
      <w:r>
        <w:rPr>
          <w:rStyle w:val="FootnoteReference"/>
        </w:rPr>
        <w:footnoteRef/>
      </w:r>
      <w:r>
        <w:t xml:space="preserve"> ONS Annual Population Survey, 2016</w:t>
      </w:r>
    </w:p>
  </w:footnote>
  <w:footnote w:id="17">
    <w:p w14:paraId="59ABDE79" w14:textId="77777777" w:rsidR="009837E7" w:rsidRDefault="009837E7" w:rsidP="00CC0FCD">
      <w:pPr>
        <w:pStyle w:val="FootnoteText"/>
      </w:pPr>
      <w:r w:rsidRPr="00305AD9">
        <w:rPr>
          <w:rStyle w:val="FootnoteReference"/>
          <w:color w:val="7030A0"/>
        </w:rPr>
        <w:footnoteRef/>
      </w:r>
      <w:r w:rsidRPr="00305AD9">
        <w:rPr>
          <w:color w:val="7030A0"/>
        </w:rPr>
        <w:t xml:space="preserve"> 2011 Census, ONS</w:t>
      </w:r>
    </w:p>
  </w:footnote>
  <w:footnote w:id="18">
    <w:p w14:paraId="61B80190" w14:textId="77777777" w:rsidR="009837E7" w:rsidRDefault="009837E7" w:rsidP="001309BD">
      <w:pPr>
        <w:pStyle w:val="FootnoteText"/>
      </w:pPr>
      <w:r>
        <w:rPr>
          <w:rStyle w:val="FootnoteReference"/>
        </w:rPr>
        <w:footnoteRef/>
      </w:r>
      <w:r>
        <w:t xml:space="preserve"> </w:t>
      </w:r>
      <w:r>
        <w:rPr>
          <w:rFonts w:cs="Arial"/>
        </w:rPr>
        <w:t>Diabetes which is a leading cause of morbidity in Harrow is included in the “other” category, but the majority of deaths in people with diabetes are due to circulatory disease.</w:t>
      </w:r>
    </w:p>
  </w:footnote>
  <w:footnote w:id="19">
    <w:p w14:paraId="641A4E8A" w14:textId="77777777" w:rsidR="009837E7" w:rsidRPr="00305AD9" w:rsidRDefault="009837E7" w:rsidP="00C5119E">
      <w:pPr>
        <w:pStyle w:val="FootnoteText"/>
        <w:rPr>
          <w:color w:val="7030A0"/>
        </w:rPr>
      </w:pPr>
      <w:r w:rsidRPr="00305AD9">
        <w:rPr>
          <w:rStyle w:val="FootnoteReference"/>
          <w:color w:val="7030A0"/>
        </w:rPr>
        <w:footnoteRef/>
      </w:r>
      <w:r w:rsidRPr="00305AD9">
        <w:rPr>
          <w:color w:val="7030A0"/>
        </w:rPr>
        <w:t xml:space="preserve"> 201</w:t>
      </w:r>
      <w:r>
        <w:rPr>
          <w:color w:val="7030A0"/>
        </w:rPr>
        <w:t>6</w:t>
      </w:r>
      <w:r w:rsidRPr="00305AD9">
        <w:rPr>
          <w:color w:val="7030A0"/>
        </w:rPr>
        <w:t>, Dwelling Stock Table 100, DCLG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F242" w14:textId="7CF9697F" w:rsidR="009837E7" w:rsidRDefault="00983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35"/>
    <w:multiLevelType w:val="hybridMultilevel"/>
    <w:tmpl w:val="2EE45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2A400B"/>
    <w:multiLevelType w:val="hybridMultilevel"/>
    <w:tmpl w:val="5EA43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BC11C1"/>
    <w:multiLevelType w:val="hybridMultilevel"/>
    <w:tmpl w:val="1F9E3152"/>
    <w:lvl w:ilvl="0" w:tplc="57DAC53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62ADA"/>
    <w:multiLevelType w:val="hybridMultilevel"/>
    <w:tmpl w:val="43300CB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nsid w:val="0A2021CC"/>
    <w:multiLevelType w:val="hybridMultilevel"/>
    <w:tmpl w:val="68ECB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E5F76D2"/>
    <w:multiLevelType w:val="hybridMultilevel"/>
    <w:tmpl w:val="398E7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CC7AED"/>
    <w:multiLevelType w:val="hybridMultilevel"/>
    <w:tmpl w:val="30E2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95F0F"/>
    <w:multiLevelType w:val="hybridMultilevel"/>
    <w:tmpl w:val="34421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695164"/>
    <w:multiLevelType w:val="hybridMultilevel"/>
    <w:tmpl w:val="9BE6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4F2A96"/>
    <w:multiLevelType w:val="hybridMultilevel"/>
    <w:tmpl w:val="EF24EEC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nsid w:val="1CDF5CA4"/>
    <w:multiLevelType w:val="hybridMultilevel"/>
    <w:tmpl w:val="8A2EA71E"/>
    <w:lvl w:ilvl="0" w:tplc="04D49D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861C0"/>
    <w:multiLevelType w:val="hybridMultilevel"/>
    <w:tmpl w:val="1E32D196"/>
    <w:lvl w:ilvl="0" w:tplc="57DAC53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8B0C52"/>
    <w:multiLevelType w:val="hybridMultilevel"/>
    <w:tmpl w:val="B18A6DD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nsid w:val="23CE6191"/>
    <w:multiLevelType w:val="hybridMultilevel"/>
    <w:tmpl w:val="6CAEE7A6"/>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4">
    <w:nsid w:val="2A51198F"/>
    <w:multiLevelType w:val="hybridMultilevel"/>
    <w:tmpl w:val="52EC792A"/>
    <w:lvl w:ilvl="0" w:tplc="06DC6BBC">
      <w:start w:val="1"/>
      <w:numFmt w:val="bullet"/>
      <w:lvlText w:val=""/>
      <w:lvlJc w:val="left"/>
      <w:pPr>
        <w:ind w:left="360" w:hanging="360"/>
      </w:pPr>
      <w:rPr>
        <w:rFonts w:ascii="Symbol" w:hAnsi="Symbol" w:hint="default"/>
        <w:color w:val="3E007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BB331B5"/>
    <w:multiLevelType w:val="hybridMultilevel"/>
    <w:tmpl w:val="60AE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03743"/>
    <w:multiLevelType w:val="hybridMultilevel"/>
    <w:tmpl w:val="A26C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DE3AB6"/>
    <w:multiLevelType w:val="hybridMultilevel"/>
    <w:tmpl w:val="1F8A459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8">
    <w:nsid w:val="363E16DB"/>
    <w:multiLevelType w:val="hybridMultilevel"/>
    <w:tmpl w:val="0B46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2601B48"/>
    <w:multiLevelType w:val="hybridMultilevel"/>
    <w:tmpl w:val="BD002A02"/>
    <w:lvl w:ilvl="0" w:tplc="E7761BF8">
      <w:start w:val="1"/>
      <w:numFmt w:val="decimal"/>
      <w:lvlText w:val="%1."/>
      <w:lvlJc w:val="left"/>
      <w:pPr>
        <w:tabs>
          <w:tab w:val="num" w:pos="720"/>
        </w:tabs>
        <w:ind w:left="720" w:hanging="360"/>
      </w:pPr>
    </w:lvl>
    <w:lvl w:ilvl="1" w:tplc="3DD8E7D8" w:tentative="1">
      <w:start w:val="1"/>
      <w:numFmt w:val="decimal"/>
      <w:lvlText w:val="%2."/>
      <w:lvlJc w:val="left"/>
      <w:pPr>
        <w:tabs>
          <w:tab w:val="num" w:pos="1440"/>
        </w:tabs>
        <w:ind w:left="1440" w:hanging="360"/>
      </w:pPr>
    </w:lvl>
    <w:lvl w:ilvl="2" w:tplc="FFBA1820" w:tentative="1">
      <w:start w:val="1"/>
      <w:numFmt w:val="decimal"/>
      <w:lvlText w:val="%3."/>
      <w:lvlJc w:val="left"/>
      <w:pPr>
        <w:tabs>
          <w:tab w:val="num" w:pos="2160"/>
        </w:tabs>
        <w:ind w:left="2160" w:hanging="360"/>
      </w:pPr>
    </w:lvl>
    <w:lvl w:ilvl="3" w:tplc="CC08F75A" w:tentative="1">
      <w:start w:val="1"/>
      <w:numFmt w:val="decimal"/>
      <w:lvlText w:val="%4."/>
      <w:lvlJc w:val="left"/>
      <w:pPr>
        <w:tabs>
          <w:tab w:val="num" w:pos="2880"/>
        </w:tabs>
        <w:ind w:left="2880" w:hanging="360"/>
      </w:pPr>
    </w:lvl>
    <w:lvl w:ilvl="4" w:tplc="BD166772" w:tentative="1">
      <w:start w:val="1"/>
      <w:numFmt w:val="decimal"/>
      <w:lvlText w:val="%5."/>
      <w:lvlJc w:val="left"/>
      <w:pPr>
        <w:tabs>
          <w:tab w:val="num" w:pos="3600"/>
        </w:tabs>
        <w:ind w:left="3600" w:hanging="360"/>
      </w:pPr>
    </w:lvl>
    <w:lvl w:ilvl="5" w:tplc="F9F23E32" w:tentative="1">
      <w:start w:val="1"/>
      <w:numFmt w:val="decimal"/>
      <w:lvlText w:val="%6."/>
      <w:lvlJc w:val="left"/>
      <w:pPr>
        <w:tabs>
          <w:tab w:val="num" w:pos="4320"/>
        </w:tabs>
        <w:ind w:left="4320" w:hanging="360"/>
      </w:pPr>
    </w:lvl>
    <w:lvl w:ilvl="6" w:tplc="6B725444" w:tentative="1">
      <w:start w:val="1"/>
      <w:numFmt w:val="decimal"/>
      <w:lvlText w:val="%7."/>
      <w:lvlJc w:val="left"/>
      <w:pPr>
        <w:tabs>
          <w:tab w:val="num" w:pos="5040"/>
        </w:tabs>
        <w:ind w:left="5040" w:hanging="360"/>
      </w:pPr>
    </w:lvl>
    <w:lvl w:ilvl="7" w:tplc="3A10C002" w:tentative="1">
      <w:start w:val="1"/>
      <w:numFmt w:val="decimal"/>
      <w:lvlText w:val="%8."/>
      <w:lvlJc w:val="left"/>
      <w:pPr>
        <w:tabs>
          <w:tab w:val="num" w:pos="5760"/>
        </w:tabs>
        <w:ind w:left="5760" w:hanging="360"/>
      </w:pPr>
    </w:lvl>
    <w:lvl w:ilvl="8" w:tplc="A170C500" w:tentative="1">
      <w:start w:val="1"/>
      <w:numFmt w:val="decimal"/>
      <w:lvlText w:val="%9."/>
      <w:lvlJc w:val="left"/>
      <w:pPr>
        <w:tabs>
          <w:tab w:val="num" w:pos="6480"/>
        </w:tabs>
        <w:ind w:left="6480" w:hanging="360"/>
      </w:pPr>
    </w:lvl>
  </w:abstractNum>
  <w:abstractNum w:abstractNumId="20">
    <w:nsid w:val="4A950AF8"/>
    <w:multiLevelType w:val="hybridMultilevel"/>
    <w:tmpl w:val="AEF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903004"/>
    <w:multiLevelType w:val="hybridMultilevel"/>
    <w:tmpl w:val="52CE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4B55EEC"/>
    <w:multiLevelType w:val="hybridMultilevel"/>
    <w:tmpl w:val="039A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237C5"/>
    <w:multiLevelType w:val="hybridMultilevel"/>
    <w:tmpl w:val="7EC4A9F6"/>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2A32CE"/>
    <w:multiLevelType w:val="hybridMultilevel"/>
    <w:tmpl w:val="74789480"/>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28506E"/>
    <w:multiLevelType w:val="hybridMultilevel"/>
    <w:tmpl w:val="A7D05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2A4520"/>
    <w:multiLevelType w:val="hybridMultilevel"/>
    <w:tmpl w:val="3ECA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C0401"/>
    <w:multiLevelType w:val="hybridMultilevel"/>
    <w:tmpl w:val="EFA4E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BE4977"/>
    <w:multiLevelType w:val="hybridMultilevel"/>
    <w:tmpl w:val="5EDEE7AE"/>
    <w:lvl w:ilvl="0" w:tplc="57DAC53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D24F89"/>
    <w:multiLevelType w:val="hybridMultilevel"/>
    <w:tmpl w:val="56461B72"/>
    <w:lvl w:ilvl="0" w:tplc="A3D4A674">
      <w:start w:val="1"/>
      <w:numFmt w:val="decimal"/>
      <w:lvlText w:val="%1."/>
      <w:lvlJc w:val="left"/>
      <w:pPr>
        <w:ind w:left="720" w:hanging="360"/>
      </w:pPr>
      <w:rPr>
        <w:rFonts w:hint="default"/>
        <w:color w:val="3E0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AB73F2"/>
    <w:multiLevelType w:val="hybridMultilevel"/>
    <w:tmpl w:val="D1263C48"/>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1F21C2"/>
    <w:multiLevelType w:val="hybridMultilevel"/>
    <w:tmpl w:val="7B88A5F0"/>
    <w:lvl w:ilvl="0" w:tplc="A3D4A674">
      <w:start w:val="1"/>
      <w:numFmt w:val="decimal"/>
      <w:lvlText w:val="%1."/>
      <w:lvlJc w:val="left"/>
      <w:pPr>
        <w:ind w:left="76" w:hanging="360"/>
      </w:pPr>
      <w:rPr>
        <w:rFonts w:hint="default"/>
        <w:color w:val="3E007A"/>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nsid w:val="7FA9565B"/>
    <w:multiLevelType w:val="hybridMultilevel"/>
    <w:tmpl w:val="0A36088E"/>
    <w:lvl w:ilvl="0" w:tplc="3A60088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28"/>
  </w:num>
  <w:num w:numId="4">
    <w:abstractNumId w:val="25"/>
  </w:num>
  <w:num w:numId="5">
    <w:abstractNumId w:val="3"/>
  </w:num>
  <w:num w:numId="6">
    <w:abstractNumId w:val="26"/>
  </w:num>
  <w:num w:numId="7">
    <w:abstractNumId w:val="20"/>
  </w:num>
  <w:num w:numId="8">
    <w:abstractNumId w:val="30"/>
  </w:num>
  <w:num w:numId="9">
    <w:abstractNumId w:val="24"/>
  </w:num>
  <w:num w:numId="10">
    <w:abstractNumId w:val="23"/>
  </w:num>
  <w:num w:numId="11">
    <w:abstractNumId w:val="14"/>
  </w:num>
  <w:num w:numId="12">
    <w:abstractNumId w:val="10"/>
  </w:num>
  <w:num w:numId="13">
    <w:abstractNumId w:val="32"/>
  </w:num>
  <w:num w:numId="14">
    <w:abstractNumId w:val="15"/>
  </w:num>
  <w:num w:numId="15">
    <w:abstractNumId w:val="29"/>
  </w:num>
  <w:num w:numId="16">
    <w:abstractNumId w:val="19"/>
  </w:num>
  <w:num w:numId="17">
    <w:abstractNumId w:val="22"/>
  </w:num>
  <w:num w:numId="18">
    <w:abstractNumId w:val="3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16"/>
  </w:num>
  <w:num w:numId="23">
    <w:abstractNumId w:val="21"/>
  </w:num>
  <w:num w:numId="24">
    <w:abstractNumId w:val="7"/>
  </w:num>
  <w:num w:numId="25">
    <w:abstractNumId w:val="18"/>
  </w:num>
  <w:num w:numId="26">
    <w:abstractNumId w:val="4"/>
  </w:num>
  <w:num w:numId="27">
    <w:abstractNumId w:val="5"/>
  </w:num>
  <w:num w:numId="28">
    <w:abstractNumId w:val="8"/>
  </w:num>
  <w:num w:numId="29">
    <w:abstractNumId w:val="0"/>
  </w:num>
  <w:num w:numId="30">
    <w:abstractNumId w:val="17"/>
  </w:num>
  <w:num w:numId="31">
    <w:abstractNumId w:val="9"/>
  </w:num>
  <w:num w:numId="32">
    <w:abstractNumId w:val="12"/>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1"/>
    <w:rsid w:val="00026B85"/>
    <w:rsid w:val="000D6365"/>
    <w:rsid w:val="00105E4D"/>
    <w:rsid w:val="001066B0"/>
    <w:rsid w:val="001066E3"/>
    <w:rsid w:val="001074F9"/>
    <w:rsid w:val="00111BAD"/>
    <w:rsid w:val="001309BD"/>
    <w:rsid w:val="00161CE1"/>
    <w:rsid w:val="0016341A"/>
    <w:rsid w:val="001800CD"/>
    <w:rsid w:val="001A786E"/>
    <w:rsid w:val="001B2044"/>
    <w:rsid w:val="0022060A"/>
    <w:rsid w:val="00240018"/>
    <w:rsid w:val="00245459"/>
    <w:rsid w:val="00281982"/>
    <w:rsid w:val="0028518D"/>
    <w:rsid w:val="002A0BD6"/>
    <w:rsid w:val="002D4B8E"/>
    <w:rsid w:val="002D523B"/>
    <w:rsid w:val="002E2735"/>
    <w:rsid w:val="00304071"/>
    <w:rsid w:val="00305042"/>
    <w:rsid w:val="00362269"/>
    <w:rsid w:val="00363B3F"/>
    <w:rsid w:val="00373992"/>
    <w:rsid w:val="00373AB8"/>
    <w:rsid w:val="0037482E"/>
    <w:rsid w:val="003C2BB7"/>
    <w:rsid w:val="003F2EC1"/>
    <w:rsid w:val="003F6F8A"/>
    <w:rsid w:val="004035B9"/>
    <w:rsid w:val="00406799"/>
    <w:rsid w:val="0041590F"/>
    <w:rsid w:val="00424911"/>
    <w:rsid w:val="004726EB"/>
    <w:rsid w:val="00472D84"/>
    <w:rsid w:val="0048139E"/>
    <w:rsid w:val="004819FD"/>
    <w:rsid w:val="00485F32"/>
    <w:rsid w:val="004B68B1"/>
    <w:rsid w:val="004B68DA"/>
    <w:rsid w:val="00530182"/>
    <w:rsid w:val="00541948"/>
    <w:rsid w:val="00574985"/>
    <w:rsid w:val="005A72C8"/>
    <w:rsid w:val="005D0824"/>
    <w:rsid w:val="005D290D"/>
    <w:rsid w:val="00605565"/>
    <w:rsid w:val="00617150"/>
    <w:rsid w:val="00634B16"/>
    <w:rsid w:val="00634DE5"/>
    <w:rsid w:val="00675791"/>
    <w:rsid w:val="00684CC4"/>
    <w:rsid w:val="006C0452"/>
    <w:rsid w:val="006D10B8"/>
    <w:rsid w:val="0072336C"/>
    <w:rsid w:val="007777B1"/>
    <w:rsid w:val="00777E7D"/>
    <w:rsid w:val="00784B28"/>
    <w:rsid w:val="00785465"/>
    <w:rsid w:val="00785967"/>
    <w:rsid w:val="00796B87"/>
    <w:rsid w:val="007A0BFE"/>
    <w:rsid w:val="007A49C8"/>
    <w:rsid w:val="007A6C73"/>
    <w:rsid w:val="007B3ED7"/>
    <w:rsid w:val="007B4858"/>
    <w:rsid w:val="007B7BAC"/>
    <w:rsid w:val="007C053C"/>
    <w:rsid w:val="007D7055"/>
    <w:rsid w:val="007E2298"/>
    <w:rsid w:val="008177C9"/>
    <w:rsid w:val="008257DF"/>
    <w:rsid w:val="00830E75"/>
    <w:rsid w:val="0084247E"/>
    <w:rsid w:val="00844F68"/>
    <w:rsid w:val="00850AE5"/>
    <w:rsid w:val="008A56BF"/>
    <w:rsid w:val="008B561E"/>
    <w:rsid w:val="008C0FB6"/>
    <w:rsid w:val="008C757E"/>
    <w:rsid w:val="00900974"/>
    <w:rsid w:val="009026D1"/>
    <w:rsid w:val="00963100"/>
    <w:rsid w:val="009837E7"/>
    <w:rsid w:val="009A6FD4"/>
    <w:rsid w:val="009A6FE7"/>
    <w:rsid w:val="009F0442"/>
    <w:rsid w:val="00A33A5D"/>
    <w:rsid w:val="00A36149"/>
    <w:rsid w:val="00A44486"/>
    <w:rsid w:val="00A55C91"/>
    <w:rsid w:val="00A60951"/>
    <w:rsid w:val="00A66035"/>
    <w:rsid w:val="00A73DD5"/>
    <w:rsid w:val="00A756C0"/>
    <w:rsid w:val="00A76A1F"/>
    <w:rsid w:val="00A86530"/>
    <w:rsid w:val="00AA4355"/>
    <w:rsid w:val="00AA7635"/>
    <w:rsid w:val="00AB1058"/>
    <w:rsid w:val="00AC5F69"/>
    <w:rsid w:val="00B1575A"/>
    <w:rsid w:val="00B26743"/>
    <w:rsid w:val="00B529F1"/>
    <w:rsid w:val="00B82B3C"/>
    <w:rsid w:val="00B92EFA"/>
    <w:rsid w:val="00BB7752"/>
    <w:rsid w:val="00BE1B4B"/>
    <w:rsid w:val="00C0312D"/>
    <w:rsid w:val="00C07D33"/>
    <w:rsid w:val="00C235C4"/>
    <w:rsid w:val="00C26970"/>
    <w:rsid w:val="00C378C6"/>
    <w:rsid w:val="00C44268"/>
    <w:rsid w:val="00C44961"/>
    <w:rsid w:val="00C44CCB"/>
    <w:rsid w:val="00C5119E"/>
    <w:rsid w:val="00C70D91"/>
    <w:rsid w:val="00C82C38"/>
    <w:rsid w:val="00CB351E"/>
    <w:rsid w:val="00CC0FCD"/>
    <w:rsid w:val="00CD11BB"/>
    <w:rsid w:val="00CD50E2"/>
    <w:rsid w:val="00D04F2B"/>
    <w:rsid w:val="00D172C4"/>
    <w:rsid w:val="00D27123"/>
    <w:rsid w:val="00D36653"/>
    <w:rsid w:val="00D4615E"/>
    <w:rsid w:val="00DA2ABE"/>
    <w:rsid w:val="00DA42A5"/>
    <w:rsid w:val="00DA6EAC"/>
    <w:rsid w:val="00DB18CD"/>
    <w:rsid w:val="00DB6423"/>
    <w:rsid w:val="00DD11A4"/>
    <w:rsid w:val="00E04B6E"/>
    <w:rsid w:val="00E1613C"/>
    <w:rsid w:val="00E36C58"/>
    <w:rsid w:val="00E47D60"/>
    <w:rsid w:val="00E57172"/>
    <w:rsid w:val="00EB23E8"/>
    <w:rsid w:val="00EC117D"/>
    <w:rsid w:val="00EE2A86"/>
    <w:rsid w:val="00EF6320"/>
    <w:rsid w:val="00F16A15"/>
    <w:rsid w:val="00F16FEF"/>
    <w:rsid w:val="00F20E5D"/>
    <w:rsid w:val="00F27DE4"/>
    <w:rsid w:val="00F36439"/>
    <w:rsid w:val="00F52999"/>
    <w:rsid w:val="00F53852"/>
    <w:rsid w:val="00F659EA"/>
    <w:rsid w:val="00F8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1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91"/>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ocked/>
    <w:rsid w:val="00A55C91"/>
    <w:pPr>
      <w:spacing w:after="160" w:line="240" w:lineRule="exact"/>
    </w:pPr>
    <w:rPr>
      <w:rFonts w:ascii="Verdana" w:hAnsi="Verdana" w:cs="Verdana"/>
      <w:sz w:val="20"/>
      <w:szCs w:val="20"/>
      <w:lang w:val="en-US"/>
    </w:rPr>
  </w:style>
  <w:style w:type="paragraph" w:styleId="NoSpacing">
    <w:name w:val="No Spacing"/>
    <w:uiPriority w:val="1"/>
    <w:qFormat/>
    <w:rsid w:val="00A55C91"/>
    <w:rPr>
      <w:sz w:val="22"/>
      <w:szCs w:val="22"/>
      <w:lang w:eastAsia="en-US"/>
    </w:rPr>
  </w:style>
  <w:style w:type="paragraph" w:styleId="BalloonText">
    <w:name w:val="Balloon Text"/>
    <w:basedOn w:val="Normal"/>
    <w:link w:val="BalloonTextChar"/>
    <w:uiPriority w:val="99"/>
    <w:semiHidden/>
    <w:unhideWhenUsed/>
    <w:rsid w:val="00A55C91"/>
    <w:rPr>
      <w:rFonts w:ascii="Tahoma" w:hAnsi="Tahoma" w:cs="Tahoma"/>
      <w:sz w:val="16"/>
      <w:szCs w:val="16"/>
    </w:rPr>
  </w:style>
  <w:style w:type="character" w:customStyle="1" w:styleId="BalloonTextChar">
    <w:name w:val="Balloon Text Char"/>
    <w:basedOn w:val="DefaultParagraphFont"/>
    <w:link w:val="BalloonText"/>
    <w:uiPriority w:val="99"/>
    <w:semiHidden/>
    <w:rsid w:val="00A55C91"/>
    <w:rPr>
      <w:rFonts w:ascii="Tahoma" w:eastAsia="Times New Roman" w:hAnsi="Tahoma" w:cs="Tahoma"/>
      <w:sz w:val="16"/>
      <w:szCs w:val="16"/>
      <w:lang w:eastAsia="en-US"/>
    </w:rPr>
  </w:style>
  <w:style w:type="table" w:styleId="TableGrid">
    <w:name w:val="Table Grid"/>
    <w:basedOn w:val="TableNormal"/>
    <w:uiPriority w:val="59"/>
    <w:rsid w:val="0047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84247E"/>
    <w:pPr>
      <w:ind w:left="720"/>
      <w:contextualSpacing/>
    </w:pPr>
  </w:style>
  <w:style w:type="character" w:styleId="Hyperlink">
    <w:name w:val="Hyperlink"/>
    <w:basedOn w:val="DefaultParagraphFont"/>
    <w:uiPriority w:val="99"/>
    <w:semiHidden/>
    <w:unhideWhenUsed/>
    <w:rsid w:val="00362269"/>
    <w:rPr>
      <w:color w:val="0000FF"/>
      <w:u w:val="single"/>
    </w:rPr>
  </w:style>
  <w:style w:type="paragraph" w:styleId="BodyText">
    <w:name w:val="Body Text"/>
    <w:basedOn w:val="Normal"/>
    <w:link w:val="BodyTextChar"/>
    <w:uiPriority w:val="1"/>
    <w:qFormat/>
    <w:rsid w:val="00F16A15"/>
    <w:pPr>
      <w:widowControl w:val="0"/>
    </w:pPr>
    <w:rPr>
      <w:rFonts w:ascii="Lucida Sans" w:eastAsia="Lucida Sans" w:hAnsi="Lucida Sans" w:cs="Lucida Sans"/>
      <w:sz w:val="53"/>
      <w:szCs w:val="53"/>
      <w:lang w:val="en-US"/>
    </w:rPr>
  </w:style>
  <w:style w:type="character" w:customStyle="1" w:styleId="BodyTextChar">
    <w:name w:val="Body Text Char"/>
    <w:basedOn w:val="DefaultParagraphFont"/>
    <w:link w:val="BodyText"/>
    <w:uiPriority w:val="1"/>
    <w:rsid w:val="00F16A15"/>
    <w:rPr>
      <w:rFonts w:ascii="Lucida Sans" w:eastAsia="Lucida Sans" w:hAnsi="Lucida Sans" w:cs="Lucida Sans"/>
      <w:sz w:val="53"/>
      <w:szCs w:val="53"/>
      <w:lang w:val="en-US" w:eastAsia="en-US"/>
    </w:rPr>
  </w:style>
  <w:style w:type="paragraph" w:styleId="FootnoteText">
    <w:name w:val="footnote text"/>
    <w:basedOn w:val="Normal"/>
    <w:link w:val="FootnoteTextChar"/>
    <w:uiPriority w:val="99"/>
    <w:semiHidden/>
    <w:unhideWhenUsed/>
    <w:rsid w:val="001309B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09BD"/>
    <w:rPr>
      <w:lang w:eastAsia="en-US"/>
    </w:rPr>
  </w:style>
  <w:style w:type="character" w:styleId="FootnoteReference">
    <w:name w:val="footnote reference"/>
    <w:uiPriority w:val="99"/>
    <w:semiHidden/>
    <w:rsid w:val="001309BD"/>
    <w:rPr>
      <w:vertAlign w:val="superscript"/>
    </w:rPr>
  </w:style>
  <w:style w:type="character" w:styleId="CommentReference">
    <w:name w:val="annotation reference"/>
    <w:uiPriority w:val="99"/>
    <w:semiHidden/>
    <w:unhideWhenUsed/>
    <w:rsid w:val="001309BD"/>
    <w:rPr>
      <w:sz w:val="16"/>
      <w:szCs w:val="16"/>
    </w:rPr>
  </w:style>
  <w:style w:type="paragraph" w:styleId="CommentText">
    <w:name w:val="annotation text"/>
    <w:basedOn w:val="Normal"/>
    <w:link w:val="CommentTextChar"/>
    <w:uiPriority w:val="99"/>
    <w:semiHidden/>
    <w:unhideWhenUsed/>
    <w:rsid w:val="001309B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309BD"/>
    <w:rPr>
      <w:lang w:eastAsia="en-US"/>
    </w:rPr>
  </w:style>
  <w:style w:type="paragraph" w:styleId="Caption">
    <w:name w:val="caption"/>
    <w:basedOn w:val="Normal"/>
    <w:next w:val="Normal"/>
    <w:uiPriority w:val="35"/>
    <w:semiHidden/>
    <w:unhideWhenUsed/>
    <w:qFormat/>
    <w:rsid w:val="001309BD"/>
    <w:pPr>
      <w:spacing w:after="200" w:line="276" w:lineRule="auto"/>
    </w:pPr>
    <w:rPr>
      <w:rFonts w:ascii="Calibri" w:eastAsia="Calibri" w:hAnsi="Calibri" w:cs="Times New Roman"/>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qFormat/>
    <w:rsid w:val="001309BD"/>
    <w:rPr>
      <w:rFonts w:ascii="Arial" w:eastAsia="Times New Roman" w:hAnsi="Arial" w:cs="Arial"/>
      <w:sz w:val="24"/>
      <w:szCs w:val="24"/>
      <w:lang w:eastAsia="en-US"/>
    </w:rPr>
  </w:style>
  <w:style w:type="paragraph" w:styleId="Subtitle">
    <w:name w:val="Subtitle"/>
    <w:basedOn w:val="Normal"/>
    <w:next w:val="Normal"/>
    <w:link w:val="SubtitleChar"/>
    <w:uiPriority w:val="11"/>
    <w:qFormat/>
    <w:rsid w:val="001309BD"/>
    <w:pPr>
      <w:numPr>
        <w:ilvl w:val="1"/>
      </w:numPr>
    </w:pPr>
    <w:rPr>
      <w:rFonts w:ascii="Cambria" w:hAnsi="Cambria" w:cs="Times New Roman"/>
      <w:i/>
      <w:iCs/>
      <w:color w:val="1F497D"/>
      <w:spacing w:val="15"/>
      <w:sz w:val="28"/>
    </w:rPr>
  </w:style>
  <w:style w:type="character" w:customStyle="1" w:styleId="SubtitleChar">
    <w:name w:val="Subtitle Char"/>
    <w:basedOn w:val="DefaultParagraphFont"/>
    <w:link w:val="Subtitle"/>
    <w:uiPriority w:val="11"/>
    <w:rsid w:val="001309BD"/>
    <w:rPr>
      <w:rFonts w:ascii="Cambria" w:eastAsia="Times New Roman" w:hAnsi="Cambria"/>
      <w:i/>
      <w:iCs/>
      <w:color w:val="1F497D"/>
      <w:spacing w:val="15"/>
      <w:sz w:val="28"/>
      <w:szCs w:val="24"/>
      <w:lang w:eastAsia="en-US"/>
    </w:rPr>
  </w:style>
  <w:style w:type="paragraph" w:styleId="Header">
    <w:name w:val="header"/>
    <w:basedOn w:val="Normal"/>
    <w:link w:val="HeaderChar"/>
    <w:uiPriority w:val="99"/>
    <w:unhideWhenUsed/>
    <w:rsid w:val="00796B87"/>
    <w:pPr>
      <w:tabs>
        <w:tab w:val="center" w:pos="4513"/>
        <w:tab w:val="right" w:pos="9026"/>
      </w:tabs>
    </w:pPr>
  </w:style>
  <w:style w:type="character" w:customStyle="1" w:styleId="HeaderChar">
    <w:name w:val="Header Char"/>
    <w:basedOn w:val="DefaultParagraphFont"/>
    <w:link w:val="Header"/>
    <w:uiPriority w:val="99"/>
    <w:rsid w:val="00796B87"/>
    <w:rPr>
      <w:rFonts w:ascii="Arial" w:eastAsia="Times New Roman" w:hAnsi="Arial" w:cs="Arial"/>
      <w:sz w:val="24"/>
      <w:szCs w:val="24"/>
      <w:lang w:eastAsia="en-US"/>
    </w:rPr>
  </w:style>
  <w:style w:type="paragraph" w:styleId="Footer">
    <w:name w:val="footer"/>
    <w:basedOn w:val="Normal"/>
    <w:link w:val="FooterChar"/>
    <w:uiPriority w:val="99"/>
    <w:unhideWhenUsed/>
    <w:rsid w:val="00796B87"/>
    <w:pPr>
      <w:tabs>
        <w:tab w:val="center" w:pos="4513"/>
        <w:tab w:val="right" w:pos="9026"/>
      </w:tabs>
    </w:pPr>
  </w:style>
  <w:style w:type="character" w:customStyle="1" w:styleId="FooterChar">
    <w:name w:val="Footer Char"/>
    <w:basedOn w:val="DefaultParagraphFont"/>
    <w:link w:val="Footer"/>
    <w:uiPriority w:val="99"/>
    <w:rsid w:val="00796B87"/>
    <w:rPr>
      <w:rFonts w:ascii="Arial" w:eastAsia="Times New Roman"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9A6FE7"/>
    <w:pPr>
      <w:spacing w:after="0" w:line="240" w:lineRule="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9A6FE7"/>
    <w:rPr>
      <w:rFonts w:ascii="Arial" w:eastAsia="Times New Roman"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91"/>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ocked/>
    <w:rsid w:val="00A55C91"/>
    <w:pPr>
      <w:spacing w:after="160" w:line="240" w:lineRule="exact"/>
    </w:pPr>
    <w:rPr>
      <w:rFonts w:ascii="Verdana" w:hAnsi="Verdana" w:cs="Verdana"/>
      <w:sz w:val="20"/>
      <w:szCs w:val="20"/>
      <w:lang w:val="en-US"/>
    </w:rPr>
  </w:style>
  <w:style w:type="paragraph" w:styleId="NoSpacing">
    <w:name w:val="No Spacing"/>
    <w:uiPriority w:val="1"/>
    <w:qFormat/>
    <w:rsid w:val="00A55C91"/>
    <w:rPr>
      <w:sz w:val="22"/>
      <w:szCs w:val="22"/>
      <w:lang w:eastAsia="en-US"/>
    </w:rPr>
  </w:style>
  <w:style w:type="paragraph" w:styleId="BalloonText">
    <w:name w:val="Balloon Text"/>
    <w:basedOn w:val="Normal"/>
    <w:link w:val="BalloonTextChar"/>
    <w:uiPriority w:val="99"/>
    <w:semiHidden/>
    <w:unhideWhenUsed/>
    <w:rsid w:val="00A55C91"/>
    <w:rPr>
      <w:rFonts w:ascii="Tahoma" w:hAnsi="Tahoma" w:cs="Tahoma"/>
      <w:sz w:val="16"/>
      <w:szCs w:val="16"/>
    </w:rPr>
  </w:style>
  <w:style w:type="character" w:customStyle="1" w:styleId="BalloonTextChar">
    <w:name w:val="Balloon Text Char"/>
    <w:basedOn w:val="DefaultParagraphFont"/>
    <w:link w:val="BalloonText"/>
    <w:uiPriority w:val="99"/>
    <w:semiHidden/>
    <w:rsid w:val="00A55C91"/>
    <w:rPr>
      <w:rFonts w:ascii="Tahoma" w:eastAsia="Times New Roman" w:hAnsi="Tahoma" w:cs="Tahoma"/>
      <w:sz w:val="16"/>
      <w:szCs w:val="16"/>
      <w:lang w:eastAsia="en-US"/>
    </w:rPr>
  </w:style>
  <w:style w:type="table" w:styleId="TableGrid">
    <w:name w:val="Table Grid"/>
    <w:basedOn w:val="TableNormal"/>
    <w:uiPriority w:val="59"/>
    <w:rsid w:val="0047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84247E"/>
    <w:pPr>
      <w:ind w:left="720"/>
      <w:contextualSpacing/>
    </w:pPr>
  </w:style>
  <w:style w:type="character" w:styleId="Hyperlink">
    <w:name w:val="Hyperlink"/>
    <w:basedOn w:val="DefaultParagraphFont"/>
    <w:uiPriority w:val="99"/>
    <w:semiHidden/>
    <w:unhideWhenUsed/>
    <w:rsid w:val="00362269"/>
    <w:rPr>
      <w:color w:val="0000FF"/>
      <w:u w:val="single"/>
    </w:rPr>
  </w:style>
  <w:style w:type="paragraph" w:styleId="BodyText">
    <w:name w:val="Body Text"/>
    <w:basedOn w:val="Normal"/>
    <w:link w:val="BodyTextChar"/>
    <w:uiPriority w:val="1"/>
    <w:qFormat/>
    <w:rsid w:val="00F16A15"/>
    <w:pPr>
      <w:widowControl w:val="0"/>
    </w:pPr>
    <w:rPr>
      <w:rFonts w:ascii="Lucida Sans" w:eastAsia="Lucida Sans" w:hAnsi="Lucida Sans" w:cs="Lucida Sans"/>
      <w:sz w:val="53"/>
      <w:szCs w:val="53"/>
      <w:lang w:val="en-US"/>
    </w:rPr>
  </w:style>
  <w:style w:type="character" w:customStyle="1" w:styleId="BodyTextChar">
    <w:name w:val="Body Text Char"/>
    <w:basedOn w:val="DefaultParagraphFont"/>
    <w:link w:val="BodyText"/>
    <w:uiPriority w:val="1"/>
    <w:rsid w:val="00F16A15"/>
    <w:rPr>
      <w:rFonts w:ascii="Lucida Sans" w:eastAsia="Lucida Sans" w:hAnsi="Lucida Sans" w:cs="Lucida Sans"/>
      <w:sz w:val="53"/>
      <w:szCs w:val="53"/>
      <w:lang w:val="en-US" w:eastAsia="en-US"/>
    </w:rPr>
  </w:style>
  <w:style w:type="paragraph" w:styleId="FootnoteText">
    <w:name w:val="footnote text"/>
    <w:basedOn w:val="Normal"/>
    <w:link w:val="FootnoteTextChar"/>
    <w:uiPriority w:val="99"/>
    <w:semiHidden/>
    <w:unhideWhenUsed/>
    <w:rsid w:val="001309B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09BD"/>
    <w:rPr>
      <w:lang w:eastAsia="en-US"/>
    </w:rPr>
  </w:style>
  <w:style w:type="character" w:styleId="FootnoteReference">
    <w:name w:val="footnote reference"/>
    <w:uiPriority w:val="99"/>
    <w:semiHidden/>
    <w:rsid w:val="001309BD"/>
    <w:rPr>
      <w:vertAlign w:val="superscript"/>
    </w:rPr>
  </w:style>
  <w:style w:type="character" w:styleId="CommentReference">
    <w:name w:val="annotation reference"/>
    <w:uiPriority w:val="99"/>
    <w:semiHidden/>
    <w:unhideWhenUsed/>
    <w:rsid w:val="001309BD"/>
    <w:rPr>
      <w:sz w:val="16"/>
      <w:szCs w:val="16"/>
    </w:rPr>
  </w:style>
  <w:style w:type="paragraph" w:styleId="CommentText">
    <w:name w:val="annotation text"/>
    <w:basedOn w:val="Normal"/>
    <w:link w:val="CommentTextChar"/>
    <w:uiPriority w:val="99"/>
    <w:semiHidden/>
    <w:unhideWhenUsed/>
    <w:rsid w:val="001309B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309BD"/>
    <w:rPr>
      <w:lang w:eastAsia="en-US"/>
    </w:rPr>
  </w:style>
  <w:style w:type="paragraph" w:styleId="Caption">
    <w:name w:val="caption"/>
    <w:basedOn w:val="Normal"/>
    <w:next w:val="Normal"/>
    <w:uiPriority w:val="35"/>
    <w:semiHidden/>
    <w:unhideWhenUsed/>
    <w:qFormat/>
    <w:rsid w:val="001309BD"/>
    <w:pPr>
      <w:spacing w:after="200" w:line="276" w:lineRule="auto"/>
    </w:pPr>
    <w:rPr>
      <w:rFonts w:ascii="Calibri" w:eastAsia="Calibri" w:hAnsi="Calibri" w:cs="Times New Roman"/>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qFormat/>
    <w:rsid w:val="001309BD"/>
    <w:rPr>
      <w:rFonts w:ascii="Arial" w:eastAsia="Times New Roman" w:hAnsi="Arial" w:cs="Arial"/>
      <w:sz w:val="24"/>
      <w:szCs w:val="24"/>
      <w:lang w:eastAsia="en-US"/>
    </w:rPr>
  </w:style>
  <w:style w:type="paragraph" w:styleId="Subtitle">
    <w:name w:val="Subtitle"/>
    <w:basedOn w:val="Normal"/>
    <w:next w:val="Normal"/>
    <w:link w:val="SubtitleChar"/>
    <w:uiPriority w:val="11"/>
    <w:qFormat/>
    <w:rsid w:val="001309BD"/>
    <w:pPr>
      <w:numPr>
        <w:ilvl w:val="1"/>
      </w:numPr>
    </w:pPr>
    <w:rPr>
      <w:rFonts w:ascii="Cambria" w:hAnsi="Cambria" w:cs="Times New Roman"/>
      <w:i/>
      <w:iCs/>
      <w:color w:val="1F497D"/>
      <w:spacing w:val="15"/>
      <w:sz w:val="28"/>
    </w:rPr>
  </w:style>
  <w:style w:type="character" w:customStyle="1" w:styleId="SubtitleChar">
    <w:name w:val="Subtitle Char"/>
    <w:basedOn w:val="DefaultParagraphFont"/>
    <w:link w:val="Subtitle"/>
    <w:uiPriority w:val="11"/>
    <w:rsid w:val="001309BD"/>
    <w:rPr>
      <w:rFonts w:ascii="Cambria" w:eastAsia="Times New Roman" w:hAnsi="Cambria"/>
      <w:i/>
      <w:iCs/>
      <w:color w:val="1F497D"/>
      <w:spacing w:val="15"/>
      <w:sz w:val="28"/>
      <w:szCs w:val="24"/>
      <w:lang w:eastAsia="en-US"/>
    </w:rPr>
  </w:style>
  <w:style w:type="paragraph" w:styleId="Header">
    <w:name w:val="header"/>
    <w:basedOn w:val="Normal"/>
    <w:link w:val="HeaderChar"/>
    <w:uiPriority w:val="99"/>
    <w:unhideWhenUsed/>
    <w:rsid w:val="00796B87"/>
    <w:pPr>
      <w:tabs>
        <w:tab w:val="center" w:pos="4513"/>
        <w:tab w:val="right" w:pos="9026"/>
      </w:tabs>
    </w:pPr>
  </w:style>
  <w:style w:type="character" w:customStyle="1" w:styleId="HeaderChar">
    <w:name w:val="Header Char"/>
    <w:basedOn w:val="DefaultParagraphFont"/>
    <w:link w:val="Header"/>
    <w:uiPriority w:val="99"/>
    <w:rsid w:val="00796B87"/>
    <w:rPr>
      <w:rFonts w:ascii="Arial" w:eastAsia="Times New Roman" w:hAnsi="Arial" w:cs="Arial"/>
      <w:sz w:val="24"/>
      <w:szCs w:val="24"/>
      <w:lang w:eastAsia="en-US"/>
    </w:rPr>
  </w:style>
  <w:style w:type="paragraph" w:styleId="Footer">
    <w:name w:val="footer"/>
    <w:basedOn w:val="Normal"/>
    <w:link w:val="FooterChar"/>
    <w:uiPriority w:val="99"/>
    <w:unhideWhenUsed/>
    <w:rsid w:val="00796B87"/>
    <w:pPr>
      <w:tabs>
        <w:tab w:val="center" w:pos="4513"/>
        <w:tab w:val="right" w:pos="9026"/>
      </w:tabs>
    </w:pPr>
  </w:style>
  <w:style w:type="character" w:customStyle="1" w:styleId="FooterChar">
    <w:name w:val="Footer Char"/>
    <w:basedOn w:val="DefaultParagraphFont"/>
    <w:link w:val="Footer"/>
    <w:uiPriority w:val="99"/>
    <w:rsid w:val="00796B87"/>
    <w:rPr>
      <w:rFonts w:ascii="Arial" w:eastAsia="Times New Roman"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9A6FE7"/>
    <w:pPr>
      <w:spacing w:after="0" w:line="240" w:lineRule="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9A6FE7"/>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0981">
      <w:bodyDiv w:val="1"/>
      <w:marLeft w:val="0"/>
      <w:marRight w:val="0"/>
      <w:marTop w:val="0"/>
      <w:marBottom w:val="0"/>
      <w:divBdr>
        <w:top w:val="none" w:sz="0" w:space="0" w:color="auto"/>
        <w:left w:val="none" w:sz="0" w:space="0" w:color="auto"/>
        <w:bottom w:val="none" w:sz="0" w:space="0" w:color="auto"/>
        <w:right w:val="none" w:sz="0" w:space="0" w:color="auto"/>
      </w:divBdr>
    </w:div>
    <w:div w:id="285628493">
      <w:bodyDiv w:val="1"/>
      <w:marLeft w:val="0"/>
      <w:marRight w:val="0"/>
      <w:marTop w:val="0"/>
      <w:marBottom w:val="0"/>
      <w:divBdr>
        <w:top w:val="none" w:sz="0" w:space="0" w:color="auto"/>
        <w:left w:val="none" w:sz="0" w:space="0" w:color="auto"/>
        <w:bottom w:val="none" w:sz="0" w:space="0" w:color="auto"/>
        <w:right w:val="none" w:sz="0" w:space="0" w:color="auto"/>
      </w:divBdr>
    </w:div>
    <w:div w:id="328097377">
      <w:bodyDiv w:val="1"/>
      <w:marLeft w:val="0"/>
      <w:marRight w:val="0"/>
      <w:marTop w:val="0"/>
      <w:marBottom w:val="0"/>
      <w:divBdr>
        <w:top w:val="none" w:sz="0" w:space="0" w:color="auto"/>
        <w:left w:val="none" w:sz="0" w:space="0" w:color="auto"/>
        <w:bottom w:val="none" w:sz="0" w:space="0" w:color="auto"/>
        <w:right w:val="none" w:sz="0" w:space="0" w:color="auto"/>
      </w:divBdr>
    </w:div>
    <w:div w:id="376274929">
      <w:bodyDiv w:val="1"/>
      <w:marLeft w:val="0"/>
      <w:marRight w:val="0"/>
      <w:marTop w:val="0"/>
      <w:marBottom w:val="0"/>
      <w:divBdr>
        <w:top w:val="none" w:sz="0" w:space="0" w:color="auto"/>
        <w:left w:val="none" w:sz="0" w:space="0" w:color="auto"/>
        <w:bottom w:val="none" w:sz="0" w:space="0" w:color="auto"/>
        <w:right w:val="none" w:sz="0" w:space="0" w:color="auto"/>
      </w:divBdr>
    </w:div>
    <w:div w:id="454954668">
      <w:bodyDiv w:val="1"/>
      <w:marLeft w:val="0"/>
      <w:marRight w:val="0"/>
      <w:marTop w:val="0"/>
      <w:marBottom w:val="0"/>
      <w:divBdr>
        <w:top w:val="none" w:sz="0" w:space="0" w:color="auto"/>
        <w:left w:val="none" w:sz="0" w:space="0" w:color="auto"/>
        <w:bottom w:val="none" w:sz="0" w:space="0" w:color="auto"/>
        <w:right w:val="none" w:sz="0" w:space="0" w:color="auto"/>
      </w:divBdr>
    </w:div>
    <w:div w:id="632515712">
      <w:bodyDiv w:val="1"/>
      <w:marLeft w:val="0"/>
      <w:marRight w:val="0"/>
      <w:marTop w:val="0"/>
      <w:marBottom w:val="0"/>
      <w:divBdr>
        <w:top w:val="none" w:sz="0" w:space="0" w:color="auto"/>
        <w:left w:val="none" w:sz="0" w:space="0" w:color="auto"/>
        <w:bottom w:val="none" w:sz="0" w:space="0" w:color="auto"/>
        <w:right w:val="none" w:sz="0" w:space="0" w:color="auto"/>
      </w:divBdr>
    </w:div>
    <w:div w:id="674184572">
      <w:bodyDiv w:val="1"/>
      <w:marLeft w:val="0"/>
      <w:marRight w:val="0"/>
      <w:marTop w:val="0"/>
      <w:marBottom w:val="0"/>
      <w:divBdr>
        <w:top w:val="none" w:sz="0" w:space="0" w:color="auto"/>
        <w:left w:val="none" w:sz="0" w:space="0" w:color="auto"/>
        <w:bottom w:val="none" w:sz="0" w:space="0" w:color="auto"/>
        <w:right w:val="none" w:sz="0" w:space="0" w:color="auto"/>
      </w:divBdr>
      <w:divsChild>
        <w:div w:id="86735892">
          <w:marLeft w:val="360"/>
          <w:marRight w:val="0"/>
          <w:marTop w:val="0"/>
          <w:marBottom w:val="0"/>
          <w:divBdr>
            <w:top w:val="none" w:sz="0" w:space="0" w:color="auto"/>
            <w:left w:val="none" w:sz="0" w:space="0" w:color="auto"/>
            <w:bottom w:val="none" w:sz="0" w:space="0" w:color="auto"/>
            <w:right w:val="none" w:sz="0" w:space="0" w:color="auto"/>
          </w:divBdr>
        </w:div>
        <w:div w:id="300622064">
          <w:marLeft w:val="360"/>
          <w:marRight w:val="0"/>
          <w:marTop w:val="0"/>
          <w:marBottom w:val="0"/>
          <w:divBdr>
            <w:top w:val="none" w:sz="0" w:space="0" w:color="auto"/>
            <w:left w:val="none" w:sz="0" w:space="0" w:color="auto"/>
            <w:bottom w:val="none" w:sz="0" w:space="0" w:color="auto"/>
            <w:right w:val="none" w:sz="0" w:space="0" w:color="auto"/>
          </w:divBdr>
        </w:div>
      </w:divsChild>
    </w:div>
    <w:div w:id="683747777">
      <w:bodyDiv w:val="1"/>
      <w:marLeft w:val="0"/>
      <w:marRight w:val="0"/>
      <w:marTop w:val="0"/>
      <w:marBottom w:val="0"/>
      <w:divBdr>
        <w:top w:val="none" w:sz="0" w:space="0" w:color="auto"/>
        <w:left w:val="none" w:sz="0" w:space="0" w:color="auto"/>
        <w:bottom w:val="none" w:sz="0" w:space="0" w:color="auto"/>
        <w:right w:val="none" w:sz="0" w:space="0" w:color="auto"/>
      </w:divBdr>
    </w:div>
    <w:div w:id="698311963">
      <w:bodyDiv w:val="1"/>
      <w:marLeft w:val="0"/>
      <w:marRight w:val="0"/>
      <w:marTop w:val="0"/>
      <w:marBottom w:val="0"/>
      <w:divBdr>
        <w:top w:val="none" w:sz="0" w:space="0" w:color="auto"/>
        <w:left w:val="none" w:sz="0" w:space="0" w:color="auto"/>
        <w:bottom w:val="none" w:sz="0" w:space="0" w:color="auto"/>
        <w:right w:val="none" w:sz="0" w:space="0" w:color="auto"/>
      </w:divBdr>
    </w:div>
    <w:div w:id="898516336">
      <w:bodyDiv w:val="1"/>
      <w:marLeft w:val="0"/>
      <w:marRight w:val="0"/>
      <w:marTop w:val="0"/>
      <w:marBottom w:val="0"/>
      <w:divBdr>
        <w:top w:val="none" w:sz="0" w:space="0" w:color="auto"/>
        <w:left w:val="none" w:sz="0" w:space="0" w:color="auto"/>
        <w:bottom w:val="none" w:sz="0" w:space="0" w:color="auto"/>
        <w:right w:val="none" w:sz="0" w:space="0" w:color="auto"/>
      </w:divBdr>
    </w:div>
    <w:div w:id="1076708519">
      <w:bodyDiv w:val="1"/>
      <w:marLeft w:val="0"/>
      <w:marRight w:val="0"/>
      <w:marTop w:val="0"/>
      <w:marBottom w:val="0"/>
      <w:divBdr>
        <w:top w:val="none" w:sz="0" w:space="0" w:color="auto"/>
        <w:left w:val="none" w:sz="0" w:space="0" w:color="auto"/>
        <w:bottom w:val="none" w:sz="0" w:space="0" w:color="auto"/>
        <w:right w:val="none" w:sz="0" w:space="0" w:color="auto"/>
      </w:divBdr>
    </w:div>
    <w:div w:id="1113209200">
      <w:bodyDiv w:val="1"/>
      <w:marLeft w:val="0"/>
      <w:marRight w:val="0"/>
      <w:marTop w:val="0"/>
      <w:marBottom w:val="0"/>
      <w:divBdr>
        <w:top w:val="none" w:sz="0" w:space="0" w:color="auto"/>
        <w:left w:val="none" w:sz="0" w:space="0" w:color="auto"/>
        <w:bottom w:val="none" w:sz="0" w:space="0" w:color="auto"/>
        <w:right w:val="none" w:sz="0" w:space="0" w:color="auto"/>
      </w:divBdr>
    </w:div>
    <w:div w:id="1976376240">
      <w:bodyDiv w:val="1"/>
      <w:marLeft w:val="0"/>
      <w:marRight w:val="0"/>
      <w:marTop w:val="0"/>
      <w:marBottom w:val="0"/>
      <w:divBdr>
        <w:top w:val="none" w:sz="0" w:space="0" w:color="auto"/>
        <w:left w:val="none" w:sz="0" w:space="0" w:color="auto"/>
        <w:bottom w:val="none" w:sz="0" w:space="0" w:color="auto"/>
        <w:right w:val="none" w:sz="0" w:space="0" w:color="auto"/>
      </w:divBdr>
    </w:div>
    <w:div w:id="1984039289">
      <w:bodyDiv w:val="1"/>
      <w:marLeft w:val="0"/>
      <w:marRight w:val="0"/>
      <w:marTop w:val="0"/>
      <w:marBottom w:val="0"/>
      <w:divBdr>
        <w:top w:val="none" w:sz="0" w:space="0" w:color="auto"/>
        <w:left w:val="none" w:sz="0" w:space="0" w:color="auto"/>
        <w:bottom w:val="none" w:sz="0" w:space="0" w:color="auto"/>
        <w:right w:val="none" w:sz="0" w:space="0" w:color="auto"/>
      </w:divBdr>
    </w:div>
    <w:div w:id="2024361736">
      <w:bodyDiv w:val="1"/>
      <w:marLeft w:val="0"/>
      <w:marRight w:val="0"/>
      <w:marTop w:val="0"/>
      <w:marBottom w:val="0"/>
      <w:divBdr>
        <w:top w:val="none" w:sz="0" w:space="0" w:color="auto"/>
        <w:left w:val="none" w:sz="0" w:space="0" w:color="auto"/>
        <w:bottom w:val="none" w:sz="0" w:space="0" w:color="auto"/>
        <w:right w:val="none" w:sz="0" w:space="0" w:color="auto"/>
      </w:divBdr>
    </w:div>
    <w:div w:id="2097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466</Value>
    </TaxCatchAll>
    <TaxKeywordTaxHTField xmlns="e48e9339-ef40-4192-ab59-a15ba5582753">
      <Terms xmlns="http://schemas.microsoft.com/office/infopath/2007/PartnerControls">
        <TermInfo xmlns="http://schemas.microsoft.com/office/infopath/2007/PartnerControls">
          <TermName>annual equalities report</TermName>
          <TermId>e5154786-7fe0-445e-9363-1280e2a2c682</TermId>
        </TermInfo>
      </Terms>
    </TaxKeywordTaxHTField>
    <HarrowProtectiveMarking xmlns="e48e9339-ef40-4192-ab59-a15ba5582753">PUBLIC</HarrowProtectiveMarking>
    <HarrowDescription xmlns="e48e9339-ef40-4192-ab59-a15ba5582753" xsi:nil="true"/>
    <Work_x0020_Area xmlns="41e6ebe8-3af6-4658-ad32-01f6adef58ea">Equalities</Work_x0020_Area>
    <Financial_x0020_Date xmlns="e48e9339-ef40-4192-ab59-a15ba5582753">2018-07-22T23:00:00+00:00</Financial_x0020_Date>
    <Report_x0020_Type xmlns="41e6ebe8-3af6-4658-ad32-01f6adef58ea">Scrutiny</Report_x0020_Type>
  </documentManagement>
</p:properti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C809-6540-4AC3-B6F1-74E25A01B8C6}"/>
</file>

<file path=customXml/itemProps2.xml><?xml version="1.0" encoding="utf-8"?>
<ds:datastoreItem xmlns:ds="http://schemas.openxmlformats.org/officeDocument/2006/customXml" ds:itemID="{D0CC863C-BB7D-4970-ADC6-A82474E505D4}"/>
</file>

<file path=customXml/itemProps3.xml><?xml version="1.0" encoding="utf-8"?>
<ds:datastoreItem xmlns:ds="http://schemas.openxmlformats.org/officeDocument/2006/customXml" ds:itemID="{A89C02F9-B19A-4E94-ADB8-7B0436758D89}"/>
</file>

<file path=customXml/itemProps4.xml><?xml version="1.0" encoding="utf-8"?>
<ds:datastoreItem xmlns:ds="http://schemas.openxmlformats.org/officeDocument/2006/customXml" ds:itemID="{8AC1A4F3-D4C5-4CF6-BB77-EC74B9F46BA7}"/>
</file>

<file path=customXml/itemProps5.xml><?xml version="1.0" encoding="utf-8"?>
<ds:datastoreItem xmlns:ds="http://schemas.openxmlformats.org/officeDocument/2006/customXml" ds:itemID="{C8F5D700-2948-4270-A65D-3FE5A08C091A}"/>
</file>

<file path=docProps/app.xml><?xml version="1.0" encoding="utf-8"?>
<Properties xmlns="http://schemas.openxmlformats.org/officeDocument/2006/extended-properties" xmlns:vt="http://schemas.openxmlformats.org/officeDocument/2006/docPropsVTypes">
  <Template>Normal</Template>
  <TotalTime>3</TotalTime>
  <Pages>29</Pages>
  <Words>8156</Words>
  <Characters>46491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Annual equalities report 2017-18</vt:lpstr>
    </vt:vector>
  </TitlesOfParts>
  <Company>London Borough of Harrow</Company>
  <LinksUpToDate>false</LinksUpToDate>
  <CharactersWithSpaces>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equalities report 2017-18</dc:title>
  <dc:creator>milyas</dc:creator>
  <cp:keywords>annual equalities report</cp:keywords>
  <cp:lastModifiedBy>Rachel Gapp</cp:lastModifiedBy>
  <cp:revision>3</cp:revision>
  <dcterms:created xsi:type="dcterms:W3CDTF">2018-07-12T12:17:00Z</dcterms:created>
  <dcterms:modified xsi:type="dcterms:W3CDTF">2018-07-12T13:07:00Z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466;#annual equalities report|e5154786-7fe0-445e-9363-1280e2a2c682</vt:lpwstr>
  </property>
</Properties>
</file>